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1007"/>
        <w:gridCol w:w="6919"/>
      </w:tblGrid>
      <w:tr w:rsidR="00E705FF" w:rsidRPr="00E705FF" w14:paraId="285FEF6C" w14:textId="77777777" w:rsidTr="00CB7871">
        <w:tc>
          <w:tcPr>
            <w:tcW w:w="1007" w:type="dxa"/>
            <w:shd w:val="clear" w:color="auto" w:fill="auto"/>
          </w:tcPr>
          <w:p w14:paraId="648F4D74" w14:textId="77777777" w:rsidR="00E705FF" w:rsidRPr="00E705FF" w:rsidRDefault="00E705FF" w:rsidP="00E705FF">
            <w:pPr>
              <w:spacing w:after="0" w:line="240" w:lineRule="auto"/>
              <w:jc w:val="right"/>
              <w:rPr>
                <w:sz w:val="20"/>
                <w:szCs w:val="20"/>
              </w:rPr>
            </w:pPr>
          </w:p>
        </w:tc>
        <w:tc>
          <w:tcPr>
            <w:tcW w:w="6919" w:type="dxa"/>
            <w:shd w:val="clear" w:color="auto" w:fill="auto"/>
          </w:tcPr>
          <w:p w14:paraId="689B4982" w14:textId="77777777" w:rsidR="00E705FF" w:rsidRPr="00E705FF" w:rsidRDefault="00E705FF" w:rsidP="00E705FF">
            <w:pPr>
              <w:spacing w:after="0" w:line="240" w:lineRule="auto"/>
              <w:jc w:val="right"/>
              <w:rPr>
                <w:color w:val="4D4D4D"/>
                <w:sz w:val="20"/>
                <w:szCs w:val="20"/>
              </w:rPr>
            </w:pPr>
            <w:r w:rsidRPr="00E705FF">
              <w:rPr>
                <w:color w:val="4D4D4D"/>
                <w:sz w:val="20"/>
                <w:szCs w:val="20"/>
              </w:rPr>
              <w:t>RESENHA / ARTIGO / ENTREVISTA / OPINIÃO / RELATO</w:t>
            </w:r>
          </w:p>
        </w:tc>
      </w:tr>
      <w:tr w:rsidR="00E705FF" w:rsidRPr="00265245" w14:paraId="36620FB9" w14:textId="77777777" w:rsidTr="00CB7871">
        <w:tc>
          <w:tcPr>
            <w:tcW w:w="1007" w:type="dxa"/>
            <w:shd w:val="clear" w:color="auto" w:fill="auto"/>
            <w:vAlign w:val="center"/>
          </w:tcPr>
          <w:p w14:paraId="0370CAFE" w14:textId="77777777" w:rsidR="00E705FF" w:rsidRPr="00265245" w:rsidRDefault="00E705FF" w:rsidP="00E705FF">
            <w:pPr>
              <w:spacing w:after="0" w:line="240" w:lineRule="auto"/>
              <w:jc w:val="center"/>
            </w:pPr>
            <w:r>
              <w:rPr>
                <w:noProof/>
              </w:rPr>
              <w:drawing>
                <wp:inline distT="0" distB="0" distL="0" distR="0" wp14:anchorId="05C69537" wp14:editId="2E570EC9">
                  <wp:extent cx="468000" cy="153862"/>
                  <wp:effectExtent l="0" t="0" r="8255" b="0"/>
                  <wp:docPr id="11"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68000" cy="153862"/>
                          </a:xfrm>
                          <a:prstGeom prst="rect">
                            <a:avLst/>
                          </a:prstGeom>
                        </pic:spPr>
                      </pic:pic>
                    </a:graphicData>
                  </a:graphic>
                </wp:inline>
              </w:drawing>
            </w:r>
          </w:p>
        </w:tc>
        <w:tc>
          <w:tcPr>
            <w:tcW w:w="6919" w:type="dxa"/>
            <w:shd w:val="clear" w:color="auto" w:fill="auto"/>
          </w:tcPr>
          <w:p w14:paraId="19283410" w14:textId="407AC67D" w:rsidR="00E705FF" w:rsidRPr="00265245" w:rsidRDefault="00E705FF" w:rsidP="00E705FF">
            <w:pPr>
              <w:pStyle w:val="Ttulo"/>
            </w:pPr>
            <w:r>
              <w:t>Título do artigo</w:t>
            </w:r>
          </w:p>
        </w:tc>
      </w:tr>
      <w:tr w:rsidR="00E705FF" w:rsidRPr="00265245" w14:paraId="5B4C1000" w14:textId="77777777" w:rsidTr="00CB7871">
        <w:tc>
          <w:tcPr>
            <w:tcW w:w="1007" w:type="dxa"/>
            <w:shd w:val="clear" w:color="auto" w:fill="auto"/>
          </w:tcPr>
          <w:p w14:paraId="6B01F1BD" w14:textId="77777777" w:rsidR="00E705FF" w:rsidRPr="00265245" w:rsidRDefault="00E705FF" w:rsidP="00973A12"/>
        </w:tc>
        <w:tc>
          <w:tcPr>
            <w:tcW w:w="6919" w:type="dxa"/>
            <w:shd w:val="clear" w:color="auto" w:fill="auto"/>
          </w:tcPr>
          <w:p w14:paraId="44A3CF14" w14:textId="0075BA6B" w:rsidR="00E705FF" w:rsidRPr="00646B06" w:rsidRDefault="00E705FF" w:rsidP="00E705FF">
            <w:pPr>
              <w:pStyle w:val="Subttulo"/>
            </w:pPr>
            <w:r>
              <w:t>Título em idioma estrangeiro</w:t>
            </w:r>
          </w:p>
        </w:tc>
      </w:tr>
      <w:tr w:rsidR="00E705FF" w:rsidRPr="00C43112" w14:paraId="33D4CCEE" w14:textId="77777777" w:rsidTr="00CB7871">
        <w:tc>
          <w:tcPr>
            <w:tcW w:w="1007" w:type="dxa"/>
            <w:shd w:val="clear" w:color="auto" w:fill="auto"/>
          </w:tcPr>
          <w:p w14:paraId="100EB2C2" w14:textId="77777777" w:rsidR="00E705FF" w:rsidRPr="00C43112" w:rsidRDefault="00E705FF" w:rsidP="00973A12">
            <w:pPr>
              <w:rPr>
                <w:sz w:val="18"/>
                <w:szCs w:val="18"/>
              </w:rPr>
            </w:pPr>
          </w:p>
        </w:tc>
        <w:tc>
          <w:tcPr>
            <w:tcW w:w="6919" w:type="dxa"/>
            <w:shd w:val="clear" w:color="auto" w:fill="auto"/>
          </w:tcPr>
          <w:p w14:paraId="71DFDAAB" w14:textId="45FAFE9C" w:rsidR="00E705FF" w:rsidRPr="00C43112" w:rsidRDefault="00E705FF" w:rsidP="00973A12">
            <w:pPr>
              <w:pStyle w:val="autoresliinc"/>
              <w:jc w:val="right"/>
              <w:rPr>
                <w:b w:val="0"/>
                <w:bCs w:val="0"/>
                <w:color w:val="auto"/>
                <w:sz w:val="18"/>
                <w:szCs w:val="18"/>
                <w:vertAlign w:val="superscript"/>
              </w:rPr>
            </w:pPr>
          </w:p>
        </w:tc>
      </w:tr>
    </w:tbl>
    <w:p w14:paraId="24F10B2E" w14:textId="5DDBD618" w:rsidR="00E705FF" w:rsidRPr="00886A51" w:rsidRDefault="00E705FF" w:rsidP="00E705FF">
      <w:pPr>
        <w:pStyle w:val="ResumoLiinc"/>
        <w:spacing w:before="240" w:after="60"/>
        <w:ind w:right="0"/>
        <w:rPr>
          <w:sz w:val="18"/>
          <w:szCs w:val="18"/>
        </w:rPr>
      </w:pPr>
      <w:r w:rsidRPr="00886A51">
        <w:rPr>
          <w:b/>
          <w:bCs/>
          <w:sz w:val="18"/>
          <w:szCs w:val="18"/>
        </w:rPr>
        <w:t>RESUMO</w:t>
      </w:r>
      <w:r>
        <w:rPr>
          <w:sz w:val="18"/>
          <w:szCs w:val="18"/>
        </w:rPr>
        <w:t xml:space="preserve">: </w:t>
      </w:r>
      <w:r w:rsidRPr="00886A51">
        <w:rPr>
          <w:sz w:val="18"/>
          <w:szCs w:val="18"/>
        </w:rPr>
        <w:t>O resumo deve constituir-se num texto redigido de forma cursiva (sem parágrafos</w:t>
      </w:r>
      <w:r w:rsidR="00CA54FE">
        <w:rPr>
          <w:sz w:val="18"/>
          <w:szCs w:val="18"/>
        </w:rPr>
        <w:t>)</w:t>
      </w:r>
      <w:r w:rsidRPr="00886A51">
        <w:rPr>
          <w:sz w:val="18"/>
          <w:szCs w:val="18"/>
        </w:rPr>
        <w:t xml:space="preserve"> e com no mínimo 100 e no máximo </w:t>
      </w:r>
      <w:r w:rsidR="00CA54FE">
        <w:rPr>
          <w:sz w:val="18"/>
          <w:szCs w:val="18"/>
        </w:rPr>
        <w:t>2</w:t>
      </w:r>
      <w:r w:rsidRPr="00886A51">
        <w:rPr>
          <w:sz w:val="18"/>
          <w:szCs w:val="18"/>
        </w:rPr>
        <w:t>50 palavras, conciso e objetivo, respeitando a estrutura do original e reproduzindo apenas as informações mais significativas, como: objetivos, metodologia de pesquisa, descobertas, e conclusões. Limita-se a um parágrafo, devendo incluir palavras representativas do assunto (palavras-chave). Deve-se evitar, no resumo: abreviaturas, símbolos, fórmulas, diagramas e notas de rodapé que não sejam absolutamente necessários à sua compreensão, bem como comentários, críticas e julgamento pessoal; palavras e/ou expressões supérfluas. não sejam absolutamente necessários à sua compreensão, bem como comentários, críticas e julgamento pessoal; palavras e/ou expressões supérfluas</w:t>
      </w:r>
      <w:r>
        <w:rPr>
          <w:sz w:val="18"/>
          <w:szCs w:val="18"/>
        </w:rPr>
        <w:t>.</w:t>
      </w:r>
    </w:p>
    <w:p w14:paraId="4E46BB74" w14:textId="64166073" w:rsidR="00E705FF" w:rsidRPr="008D725A" w:rsidRDefault="00E705FF" w:rsidP="00E705FF">
      <w:pPr>
        <w:spacing w:after="0"/>
      </w:pPr>
      <w:r w:rsidRPr="008D725A">
        <w:rPr>
          <w:b/>
          <w:bCs/>
          <w:sz w:val="18"/>
          <w:szCs w:val="18"/>
        </w:rPr>
        <w:t>Palavras-chave:</w:t>
      </w:r>
      <w:r w:rsidRPr="008D725A">
        <w:rPr>
          <w:sz w:val="18"/>
          <w:szCs w:val="18"/>
        </w:rPr>
        <w:t xml:space="preserve"> Lista de palavras-chave</w:t>
      </w:r>
      <w:r w:rsidR="00CB7871">
        <w:rPr>
          <w:sz w:val="18"/>
          <w:szCs w:val="18"/>
        </w:rPr>
        <w:t>;</w:t>
      </w:r>
      <w:r w:rsidRPr="008D725A">
        <w:rPr>
          <w:sz w:val="18"/>
          <w:szCs w:val="18"/>
        </w:rPr>
        <w:t xml:space="preserve"> Separadas por ponto</w:t>
      </w:r>
      <w:r w:rsidR="00210583">
        <w:rPr>
          <w:sz w:val="18"/>
          <w:szCs w:val="18"/>
        </w:rPr>
        <w:t xml:space="preserve"> e vírgula</w:t>
      </w:r>
      <w:r w:rsidR="00CB7871">
        <w:rPr>
          <w:sz w:val="18"/>
          <w:szCs w:val="18"/>
        </w:rPr>
        <w:t>;</w:t>
      </w:r>
      <w:r w:rsidRPr="008D725A">
        <w:rPr>
          <w:sz w:val="18"/>
          <w:szCs w:val="18"/>
        </w:rPr>
        <w:t xml:space="preserve"> Letra inicial maiúscula</w:t>
      </w:r>
      <w:r w:rsidR="00CB7871">
        <w:rPr>
          <w:sz w:val="18"/>
          <w:szCs w:val="18"/>
        </w:rPr>
        <w:t>;</w:t>
      </w:r>
      <w:r w:rsidRPr="008D725A">
        <w:rPr>
          <w:sz w:val="18"/>
          <w:szCs w:val="18"/>
        </w:rPr>
        <w:t xml:space="preserve"> De três a cinco palavras-chave</w:t>
      </w:r>
      <w:r w:rsidR="00CB7871">
        <w:rPr>
          <w:sz w:val="18"/>
          <w:szCs w:val="18"/>
        </w:rPr>
        <w:t>.</w:t>
      </w:r>
    </w:p>
    <w:p w14:paraId="0A921F85" w14:textId="0DADC143" w:rsidR="00E705FF" w:rsidRPr="008D725A" w:rsidRDefault="00E705FF" w:rsidP="00E705FF">
      <w:pPr>
        <w:pStyle w:val="AbstractLiinc"/>
        <w:spacing w:before="240" w:after="60"/>
        <w:ind w:left="0"/>
        <w:rPr>
          <w:sz w:val="18"/>
          <w:szCs w:val="18"/>
        </w:rPr>
      </w:pPr>
      <w:r w:rsidRPr="008D725A">
        <w:rPr>
          <w:b/>
          <w:bCs w:val="0"/>
          <w:sz w:val="18"/>
          <w:szCs w:val="18"/>
        </w:rPr>
        <w:t>ABSTRACT</w:t>
      </w:r>
      <w:r>
        <w:rPr>
          <w:sz w:val="18"/>
          <w:szCs w:val="18"/>
        </w:rPr>
        <w:t xml:space="preserve">: </w:t>
      </w:r>
      <w:r w:rsidRPr="008D725A">
        <w:rPr>
          <w:sz w:val="18"/>
          <w:szCs w:val="18"/>
        </w:rPr>
        <w:t xml:space="preserve">O </w:t>
      </w:r>
      <w:r w:rsidR="00CA54FE">
        <w:rPr>
          <w:sz w:val="18"/>
          <w:szCs w:val="18"/>
        </w:rPr>
        <w:t>abstract</w:t>
      </w:r>
      <w:r w:rsidRPr="008D725A">
        <w:rPr>
          <w:sz w:val="18"/>
          <w:szCs w:val="18"/>
        </w:rPr>
        <w:t xml:space="preserve"> deve constituir-se num texto redigido de forma cursiva (sem parágrafos</w:t>
      </w:r>
      <w:r w:rsidR="00CA54FE">
        <w:rPr>
          <w:sz w:val="18"/>
          <w:szCs w:val="18"/>
        </w:rPr>
        <w:t>)</w:t>
      </w:r>
      <w:r w:rsidRPr="008D725A">
        <w:rPr>
          <w:sz w:val="18"/>
          <w:szCs w:val="18"/>
        </w:rPr>
        <w:t xml:space="preserve"> e com no mínimo 100 e no máximo </w:t>
      </w:r>
      <w:r w:rsidR="00CA54FE">
        <w:rPr>
          <w:sz w:val="18"/>
          <w:szCs w:val="18"/>
        </w:rPr>
        <w:t>2</w:t>
      </w:r>
      <w:r w:rsidRPr="008D725A">
        <w:rPr>
          <w:sz w:val="18"/>
          <w:szCs w:val="18"/>
        </w:rPr>
        <w:t xml:space="preserve">50 palavras, conciso e objetivo, respeitando a estrutura do original e reproduzindo apenas as informações mais significativas, como: objetivos, metodologia de pesquisa, descobertas e conclusões. Limita-se a um parágrafo, devendo incluir palavras representativas do assunto (palavras-chave). Deve-se evitar, no </w:t>
      </w:r>
      <w:r w:rsidR="00CA54FE">
        <w:rPr>
          <w:sz w:val="18"/>
          <w:szCs w:val="18"/>
        </w:rPr>
        <w:t>abstract</w:t>
      </w:r>
      <w:r w:rsidRPr="008D725A">
        <w:rPr>
          <w:sz w:val="18"/>
          <w:szCs w:val="18"/>
        </w:rPr>
        <w:t>: abreviaturas, símbolos, fórmulas, diagramas e notas de rodapé que não sejam absolutamente necessários à sua compreensão, bem como comentários, críticas e julgamento pessoal; palavras e/ou expressões supérfluas. não sejam absolutamente necessários à sua compreensão, bem como comentários, críticas e julgamento pessoal; palavras e/ou expressões supérfluas.</w:t>
      </w:r>
    </w:p>
    <w:p w14:paraId="46EE8A01" w14:textId="17237114" w:rsidR="00535745" w:rsidRDefault="00E705FF" w:rsidP="00E705FF">
      <w:pPr>
        <w:rPr>
          <w:sz w:val="18"/>
          <w:szCs w:val="18"/>
        </w:rPr>
      </w:pPr>
      <w:r w:rsidRPr="008D725A">
        <w:rPr>
          <w:b/>
          <w:bCs/>
          <w:sz w:val="18"/>
          <w:szCs w:val="18"/>
        </w:rPr>
        <w:t>Keywords:</w:t>
      </w:r>
      <w:r w:rsidRPr="008D725A">
        <w:rPr>
          <w:sz w:val="18"/>
          <w:szCs w:val="18"/>
        </w:rPr>
        <w:t xml:space="preserve"> </w:t>
      </w:r>
      <w:r w:rsidR="00CB7871" w:rsidRPr="008D725A">
        <w:rPr>
          <w:sz w:val="18"/>
          <w:szCs w:val="18"/>
        </w:rPr>
        <w:t xml:space="preserve">Lista de </w:t>
      </w:r>
      <w:proofErr w:type="spellStart"/>
      <w:r w:rsidR="00CA54FE">
        <w:rPr>
          <w:sz w:val="18"/>
          <w:szCs w:val="18"/>
        </w:rPr>
        <w:t>keywords</w:t>
      </w:r>
      <w:proofErr w:type="spellEnd"/>
      <w:r w:rsidR="00CB7871">
        <w:rPr>
          <w:sz w:val="18"/>
          <w:szCs w:val="18"/>
        </w:rPr>
        <w:t>;</w:t>
      </w:r>
      <w:r w:rsidR="00CB7871" w:rsidRPr="008D725A">
        <w:rPr>
          <w:sz w:val="18"/>
          <w:szCs w:val="18"/>
        </w:rPr>
        <w:t xml:space="preserve"> Separadas por ponto</w:t>
      </w:r>
      <w:r w:rsidR="00CB7871">
        <w:rPr>
          <w:sz w:val="18"/>
          <w:szCs w:val="18"/>
        </w:rPr>
        <w:t xml:space="preserve"> e vírgula;</w:t>
      </w:r>
      <w:r w:rsidR="00CB7871" w:rsidRPr="008D725A">
        <w:rPr>
          <w:sz w:val="18"/>
          <w:szCs w:val="18"/>
        </w:rPr>
        <w:t xml:space="preserve"> Letra inicial maiúscula</w:t>
      </w:r>
      <w:r w:rsidR="00CB7871">
        <w:rPr>
          <w:sz w:val="18"/>
          <w:szCs w:val="18"/>
        </w:rPr>
        <w:t>;</w:t>
      </w:r>
      <w:r w:rsidR="00CB7871" w:rsidRPr="008D725A">
        <w:rPr>
          <w:sz w:val="18"/>
          <w:szCs w:val="18"/>
        </w:rPr>
        <w:t xml:space="preserve"> De três a cinco palavras-chave</w:t>
      </w:r>
      <w:r w:rsidR="00CB7871">
        <w:rPr>
          <w:sz w:val="18"/>
          <w:szCs w:val="18"/>
        </w:rPr>
        <w:t>.</w:t>
      </w:r>
    </w:p>
    <w:p w14:paraId="0E9BB07F" w14:textId="64CE3561" w:rsidR="00CB7871" w:rsidRDefault="00CB7871" w:rsidP="00E705FF">
      <w:pPr>
        <w:rPr>
          <w:sz w:val="18"/>
          <w:szCs w:val="18"/>
        </w:rPr>
      </w:pPr>
      <w:r>
        <w:rPr>
          <w:sz w:val="18"/>
          <w:szCs w:val="18"/>
        </w:rPr>
        <w:br w:type="page"/>
      </w:r>
    </w:p>
    <w:p w14:paraId="55E2A62D" w14:textId="042412B5" w:rsidR="00CB7871" w:rsidRDefault="00FB5059" w:rsidP="00FB5059">
      <w:pPr>
        <w:pStyle w:val="Ttulo1"/>
      </w:pPr>
      <w:r>
        <w:lastRenderedPageBreak/>
        <w:t>Introdução</w:t>
      </w:r>
    </w:p>
    <w:p w14:paraId="32A1DB37" w14:textId="5A75D38B" w:rsidR="00FB5059" w:rsidRDefault="00FB5059" w:rsidP="00E705FF">
      <w:r>
        <w:t>Exemplo de seção primária. Substituir este texto pelo do manuscrito...</w:t>
      </w:r>
    </w:p>
    <w:p w14:paraId="754170D5" w14:textId="56B7538F" w:rsidR="00FB5059" w:rsidRDefault="00FB5059" w:rsidP="00FB5059">
      <w:pPr>
        <w:pStyle w:val="Ttulo1"/>
      </w:pPr>
      <w:r>
        <w:t>Desenvolvimento</w:t>
      </w:r>
    </w:p>
    <w:p w14:paraId="520D6F50" w14:textId="433FB25C" w:rsidR="00FB5059" w:rsidRPr="00FB5059" w:rsidRDefault="00FB5059" w:rsidP="00FB5059">
      <w:r>
        <w:t>Exemplo de seção primária. Substituir este texto pelo do manuscrito...</w:t>
      </w:r>
    </w:p>
    <w:p w14:paraId="3468E17A" w14:textId="664C611A" w:rsidR="00FB5059" w:rsidRDefault="00FB5059" w:rsidP="00FB5059">
      <w:pPr>
        <w:pStyle w:val="Ttulo2"/>
      </w:pPr>
      <w:r>
        <w:t>Seção secundária</w:t>
      </w:r>
    </w:p>
    <w:p w14:paraId="06A85471" w14:textId="66814F60" w:rsidR="00FB5059" w:rsidRPr="00FB5059" w:rsidRDefault="00FB5059" w:rsidP="00FB5059">
      <w:r>
        <w:t>Exemplo de seção secundária. Substituir este texto pelo do manuscrito...</w:t>
      </w:r>
    </w:p>
    <w:p w14:paraId="2D53CB64" w14:textId="5F7F884A" w:rsidR="00AB097C" w:rsidRDefault="00AB097C" w:rsidP="00AB097C">
      <w:r w:rsidRPr="00AB097C">
        <w:t>Incluir citações e lista das referências citadas no texto do manuscrito de acordo com as orientações da norma ISO 690:</w:t>
      </w:r>
      <w:r>
        <w:t xml:space="preserve"> </w:t>
      </w:r>
      <w:r w:rsidRPr="00AB097C">
        <w:t>2010, sistema autor-data</w:t>
      </w:r>
      <w:r>
        <w:t xml:space="preserve">, com atenção para as chamadas —sobrenomes dos autores citados— que devem ser grafadas </w:t>
      </w:r>
      <w:r w:rsidR="00873C1C">
        <w:t xml:space="preserve">somente com </w:t>
      </w:r>
      <w:r w:rsidR="00472143" w:rsidRPr="00873C1C">
        <w:t>inicial</w:t>
      </w:r>
      <w:r w:rsidR="00472143">
        <w:t xml:space="preserve"> </w:t>
      </w:r>
      <w:r w:rsidR="00873C1C" w:rsidRPr="00873C1C">
        <w:t xml:space="preserve">maiúscula </w:t>
      </w:r>
      <w:r w:rsidR="00472143">
        <w:t xml:space="preserve">quando </w:t>
      </w:r>
      <w:r>
        <w:t>dentro de parênteses, p.ex.:</w:t>
      </w:r>
    </w:p>
    <w:p w14:paraId="4F2AA452" w14:textId="01C4539F" w:rsidR="00D0184A" w:rsidRPr="0051688E" w:rsidRDefault="00AB097C" w:rsidP="00AB097C">
      <w:r>
        <w:t xml:space="preserve">A avaliação da atividade cientifica baseada em critérios exclusivamente quantitativos vem sendo debatida </w:t>
      </w:r>
      <w:r w:rsidR="00873C1C">
        <w:t xml:space="preserve">por diferentes autores </w:t>
      </w:r>
      <w:r>
        <w:t>(</w:t>
      </w:r>
      <w:proofErr w:type="spellStart"/>
      <w:r>
        <w:t>Guédon</w:t>
      </w:r>
      <w:proofErr w:type="spellEnd"/>
      <w:r>
        <w:t xml:space="preserve"> 2010; </w:t>
      </w:r>
      <w:proofErr w:type="spellStart"/>
      <w:r>
        <w:t>Vessuri</w:t>
      </w:r>
      <w:proofErr w:type="spellEnd"/>
      <w:r>
        <w:t xml:space="preserve">, </w:t>
      </w:r>
      <w:proofErr w:type="spellStart"/>
      <w:r>
        <w:t>Guédon</w:t>
      </w:r>
      <w:proofErr w:type="spellEnd"/>
      <w:r>
        <w:t xml:space="preserve">, </w:t>
      </w:r>
      <w:proofErr w:type="spellStart"/>
      <w:r>
        <w:t>Cetto</w:t>
      </w:r>
      <w:proofErr w:type="spellEnd"/>
      <w:r>
        <w:t xml:space="preserve"> 2014).</w:t>
      </w:r>
    </w:p>
    <w:p w14:paraId="4A012310" w14:textId="43CFC5B1" w:rsidR="00DF0DEC" w:rsidRDefault="00DF0DEC" w:rsidP="00E705FF">
      <w:r>
        <w:t xml:space="preserve">Utilize </w:t>
      </w:r>
      <w:r w:rsidRPr="00DF0DEC">
        <w:rPr>
          <w:b/>
          <w:bCs/>
        </w:rPr>
        <w:t>tabelas</w:t>
      </w:r>
      <w:r w:rsidR="0065013E">
        <w:t xml:space="preserve"> para a apresentação de </w:t>
      </w:r>
      <w:r w:rsidR="0065013E" w:rsidRPr="0065013E">
        <w:rPr>
          <w:b/>
          <w:bCs/>
        </w:rPr>
        <w:t>dados numéricos</w:t>
      </w:r>
      <w:r>
        <w:t xml:space="preserve">, </w:t>
      </w:r>
      <w:r w:rsidR="0065013E">
        <w:t>formatando-as</w:t>
      </w:r>
      <w:r>
        <w:t xml:space="preserve"> conforme as Normas de Apresentação Tabular do IBGE, p.ex.:</w:t>
      </w:r>
    </w:p>
    <w:p w14:paraId="2A983106" w14:textId="71AD4322" w:rsidR="0051688E" w:rsidRDefault="0051688E" w:rsidP="0051688E">
      <w:pPr>
        <w:pStyle w:val="Legenda"/>
        <w:keepNext/>
      </w:pPr>
      <w:r w:rsidRPr="0051688E">
        <w:rPr>
          <w:b/>
          <w:bCs/>
        </w:rPr>
        <w:t xml:space="preserve">Tabela </w:t>
      </w:r>
      <w:r w:rsidRPr="0051688E">
        <w:rPr>
          <w:b/>
          <w:bCs/>
        </w:rPr>
        <w:fldChar w:fldCharType="begin"/>
      </w:r>
      <w:r w:rsidRPr="0051688E">
        <w:rPr>
          <w:b/>
          <w:bCs/>
        </w:rPr>
        <w:instrText xml:space="preserve"> SEQ Tabela \* ARABIC </w:instrText>
      </w:r>
      <w:r w:rsidRPr="0051688E">
        <w:rPr>
          <w:b/>
          <w:bCs/>
        </w:rPr>
        <w:fldChar w:fldCharType="separate"/>
      </w:r>
      <w:r w:rsidR="00CA54FE">
        <w:rPr>
          <w:b/>
          <w:bCs/>
          <w:noProof/>
        </w:rPr>
        <w:t>1</w:t>
      </w:r>
      <w:r w:rsidRPr="0051688E">
        <w:rPr>
          <w:b/>
          <w:bCs/>
        </w:rPr>
        <w:fldChar w:fldCharType="end"/>
      </w:r>
      <w:r>
        <w:t xml:space="preserve">. </w:t>
      </w:r>
      <w:r w:rsidRPr="00553A48">
        <w:t>Relação dos fenômenos observados no estudo</w:t>
      </w:r>
      <w:r>
        <w:t>.</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5"/>
        <w:gridCol w:w="1585"/>
        <w:gridCol w:w="1585"/>
        <w:gridCol w:w="1586"/>
      </w:tblGrid>
      <w:tr w:rsidR="0051688E" w:rsidRPr="0051688E" w14:paraId="09F8FDC4" w14:textId="77777777" w:rsidTr="00545F4D">
        <w:trPr>
          <w:trHeight w:val="283"/>
        </w:trPr>
        <w:tc>
          <w:tcPr>
            <w:tcW w:w="1585" w:type="dxa"/>
            <w:tcBorders>
              <w:top w:val="single" w:sz="4" w:space="0" w:color="auto"/>
              <w:bottom w:val="single" w:sz="4" w:space="0" w:color="auto"/>
            </w:tcBorders>
            <w:vAlign w:val="center"/>
          </w:tcPr>
          <w:p w14:paraId="12B5EAEA" w14:textId="77777777" w:rsidR="0051688E" w:rsidRPr="0051688E" w:rsidRDefault="0051688E" w:rsidP="0051688E">
            <w:pPr>
              <w:spacing w:after="0" w:line="240" w:lineRule="auto"/>
              <w:jc w:val="left"/>
              <w:rPr>
                <w:b/>
                <w:bCs/>
                <w:sz w:val="18"/>
                <w:szCs w:val="18"/>
              </w:rPr>
            </w:pPr>
          </w:p>
        </w:tc>
        <w:tc>
          <w:tcPr>
            <w:tcW w:w="1585" w:type="dxa"/>
            <w:tcBorders>
              <w:top w:val="single" w:sz="4" w:space="0" w:color="auto"/>
              <w:bottom w:val="single" w:sz="4" w:space="0" w:color="auto"/>
            </w:tcBorders>
            <w:vAlign w:val="center"/>
          </w:tcPr>
          <w:p w14:paraId="6801D3D2" w14:textId="6C2479C0" w:rsidR="0051688E" w:rsidRPr="0051688E" w:rsidRDefault="0051688E" w:rsidP="0051688E">
            <w:pPr>
              <w:spacing w:after="0" w:line="240" w:lineRule="auto"/>
              <w:jc w:val="right"/>
              <w:rPr>
                <w:b/>
                <w:bCs/>
                <w:sz w:val="18"/>
                <w:szCs w:val="18"/>
              </w:rPr>
            </w:pPr>
            <w:r w:rsidRPr="0051688E">
              <w:rPr>
                <w:b/>
                <w:bCs/>
                <w:sz w:val="18"/>
                <w:szCs w:val="18"/>
              </w:rPr>
              <w:t>Variável 1</w:t>
            </w:r>
          </w:p>
        </w:tc>
        <w:tc>
          <w:tcPr>
            <w:tcW w:w="1585" w:type="dxa"/>
            <w:tcBorders>
              <w:top w:val="single" w:sz="4" w:space="0" w:color="auto"/>
              <w:bottom w:val="single" w:sz="4" w:space="0" w:color="auto"/>
            </w:tcBorders>
            <w:vAlign w:val="center"/>
          </w:tcPr>
          <w:p w14:paraId="2927FDB3" w14:textId="4E5FBA81" w:rsidR="0051688E" w:rsidRPr="0051688E" w:rsidRDefault="0051688E" w:rsidP="0051688E">
            <w:pPr>
              <w:spacing w:after="0" w:line="240" w:lineRule="auto"/>
              <w:jc w:val="right"/>
              <w:rPr>
                <w:b/>
                <w:bCs/>
                <w:sz w:val="18"/>
                <w:szCs w:val="18"/>
              </w:rPr>
            </w:pPr>
            <w:r w:rsidRPr="0051688E">
              <w:rPr>
                <w:b/>
                <w:bCs/>
                <w:sz w:val="18"/>
                <w:szCs w:val="18"/>
              </w:rPr>
              <w:t>Variável 2</w:t>
            </w:r>
          </w:p>
        </w:tc>
        <w:tc>
          <w:tcPr>
            <w:tcW w:w="1585" w:type="dxa"/>
            <w:tcBorders>
              <w:top w:val="single" w:sz="4" w:space="0" w:color="auto"/>
              <w:bottom w:val="single" w:sz="4" w:space="0" w:color="auto"/>
            </w:tcBorders>
            <w:vAlign w:val="center"/>
          </w:tcPr>
          <w:p w14:paraId="7E3C90C5" w14:textId="4982B52A" w:rsidR="0051688E" w:rsidRPr="0051688E" w:rsidRDefault="0051688E" w:rsidP="0051688E">
            <w:pPr>
              <w:spacing w:after="0" w:line="240" w:lineRule="auto"/>
              <w:jc w:val="right"/>
              <w:rPr>
                <w:b/>
                <w:bCs/>
                <w:sz w:val="18"/>
                <w:szCs w:val="18"/>
              </w:rPr>
            </w:pPr>
            <w:r w:rsidRPr="0051688E">
              <w:rPr>
                <w:b/>
                <w:bCs/>
                <w:sz w:val="18"/>
                <w:szCs w:val="18"/>
              </w:rPr>
              <w:t>Variável 3</w:t>
            </w:r>
          </w:p>
        </w:tc>
        <w:tc>
          <w:tcPr>
            <w:tcW w:w="1586" w:type="dxa"/>
            <w:tcBorders>
              <w:top w:val="single" w:sz="4" w:space="0" w:color="auto"/>
              <w:bottom w:val="single" w:sz="4" w:space="0" w:color="auto"/>
            </w:tcBorders>
            <w:vAlign w:val="center"/>
          </w:tcPr>
          <w:p w14:paraId="748AC01D" w14:textId="366CDEFB" w:rsidR="0051688E" w:rsidRPr="0051688E" w:rsidRDefault="0051688E" w:rsidP="0051688E">
            <w:pPr>
              <w:spacing w:after="0" w:line="240" w:lineRule="auto"/>
              <w:jc w:val="right"/>
              <w:rPr>
                <w:b/>
                <w:bCs/>
                <w:sz w:val="18"/>
                <w:szCs w:val="18"/>
              </w:rPr>
            </w:pPr>
            <w:r w:rsidRPr="0051688E">
              <w:rPr>
                <w:b/>
                <w:bCs/>
                <w:sz w:val="18"/>
                <w:szCs w:val="18"/>
              </w:rPr>
              <w:t>Total</w:t>
            </w:r>
          </w:p>
        </w:tc>
      </w:tr>
      <w:tr w:rsidR="00DF0DEC" w:rsidRPr="0051688E" w14:paraId="32A90E01" w14:textId="77777777" w:rsidTr="00226A28">
        <w:trPr>
          <w:trHeight w:val="283"/>
        </w:trPr>
        <w:tc>
          <w:tcPr>
            <w:tcW w:w="1585" w:type="dxa"/>
            <w:tcBorders>
              <w:top w:val="single" w:sz="4" w:space="0" w:color="auto"/>
            </w:tcBorders>
            <w:vAlign w:val="center"/>
          </w:tcPr>
          <w:p w14:paraId="302C0AF7" w14:textId="09B30B0B" w:rsidR="00DF0DEC" w:rsidRPr="0051688E" w:rsidRDefault="00DF0DEC" w:rsidP="00DF0DEC">
            <w:pPr>
              <w:spacing w:after="0" w:line="240" w:lineRule="auto"/>
              <w:jc w:val="left"/>
              <w:rPr>
                <w:b/>
                <w:bCs/>
                <w:sz w:val="18"/>
                <w:szCs w:val="18"/>
              </w:rPr>
            </w:pPr>
            <w:r w:rsidRPr="0051688E">
              <w:rPr>
                <w:b/>
                <w:bCs/>
                <w:sz w:val="18"/>
                <w:szCs w:val="18"/>
              </w:rPr>
              <w:t>Observação 1</w:t>
            </w:r>
          </w:p>
        </w:tc>
        <w:tc>
          <w:tcPr>
            <w:tcW w:w="1585" w:type="dxa"/>
            <w:tcBorders>
              <w:top w:val="single" w:sz="4" w:space="0" w:color="auto"/>
            </w:tcBorders>
          </w:tcPr>
          <w:p w14:paraId="24AD7981" w14:textId="4C39D63E" w:rsidR="00DF0DEC" w:rsidRPr="0051688E" w:rsidRDefault="00DF0DEC" w:rsidP="00DF0DEC">
            <w:pPr>
              <w:spacing w:after="0" w:line="240" w:lineRule="auto"/>
              <w:jc w:val="right"/>
              <w:rPr>
                <w:sz w:val="18"/>
                <w:szCs w:val="18"/>
              </w:rPr>
            </w:pPr>
            <w:r w:rsidRPr="0029591D">
              <w:t>5</w:t>
            </w:r>
          </w:p>
        </w:tc>
        <w:tc>
          <w:tcPr>
            <w:tcW w:w="1585" w:type="dxa"/>
            <w:tcBorders>
              <w:top w:val="single" w:sz="4" w:space="0" w:color="auto"/>
            </w:tcBorders>
          </w:tcPr>
          <w:p w14:paraId="2E1B0030" w14:textId="74491FE8" w:rsidR="00DF0DEC" w:rsidRPr="0051688E" w:rsidRDefault="00DF0DEC" w:rsidP="00DF0DEC">
            <w:pPr>
              <w:spacing w:after="0" w:line="240" w:lineRule="auto"/>
              <w:jc w:val="right"/>
              <w:rPr>
                <w:sz w:val="18"/>
                <w:szCs w:val="18"/>
              </w:rPr>
            </w:pPr>
            <w:r w:rsidRPr="0029591D">
              <w:t>10</w:t>
            </w:r>
          </w:p>
        </w:tc>
        <w:tc>
          <w:tcPr>
            <w:tcW w:w="1585" w:type="dxa"/>
            <w:tcBorders>
              <w:top w:val="single" w:sz="4" w:space="0" w:color="auto"/>
            </w:tcBorders>
          </w:tcPr>
          <w:p w14:paraId="5CE2FF5D" w14:textId="7D7C0AC1" w:rsidR="00DF0DEC" w:rsidRPr="0051688E" w:rsidRDefault="00DF0DEC" w:rsidP="00DF0DEC">
            <w:pPr>
              <w:spacing w:after="0" w:line="240" w:lineRule="auto"/>
              <w:jc w:val="right"/>
              <w:rPr>
                <w:sz w:val="18"/>
                <w:szCs w:val="18"/>
              </w:rPr>
            </w:pPr>
            <w:r w:rsidRPr="0029591D">
              <w:t>6</w:t>
            </w:r>
          </w:p>
        </w:tc>
        <w:tc>
          <w:tcPr>
            <w:tcW w:w="1586" w:type="dxa"/>
            <w:tcBorders>
              <w:top w:val="single" w:sz="4" w:space="0" w:color="auto"/>
            </w:tcBorders>
          </w:tcPr>
          <w:p w14:paraId="0B6B6908" w14:textId="3EEE501B" w:rsidR="00DF0DEC" w:rsidRPr="0051688E" w:rsidRDefault="00DF0DEC" w:rsidP="00DF0DEC">
            <w:pPr>
              <w:spacing w:after="0" w:line="240" w:lineRule="auto"/>
              <w:jc w:val="right"/>
              <w:rPr>
                <w:sz w:val="18"/>
                <w:szCs w:val="18"/>
              </w:rPr>
            </w:pPr>
            <w:r w:rsidRPr="0029591D">
              <w:t>21</w:t>
            </w:r>
          </w:p>
        </w:tc>
      </w:tr>
      <w:tr w:rsidR="00DF0DEC" w:rsidRPr="0051688E" w14:paraId="4D550A39" w14:textId="77777777" w:rsidTr="00226A28">
        <w:trPr>
          <w:trHeight w:val="283"/>
        </w:trPr>
        <w:tc>
          <w:tcPr>
            <w:tcW w:w="1585" w:type="dxa"/>
            <w:vAlign w:val="center"/>
          </w:tcPr>
          <w:p w14:paraId="1A8B1BC0" w14:textId="41B38204" w:rsidR="00DF0DEC" w:rsidRPr="0051688E" w:rsidRDefault="00DF0DEC" w:rsidP="00DF0DEC">
            <w:pPr>
              <w:spacing w:after="0" w:line="240" w:lineRule="auto"/>
              <w:jc w:val="left"/>
              <w:rPr>
                <w:b/>
                <w:bCs/>
                <w:sz w:val="18"/>
                <w:szCs w:val="18"/>
              </w:rPr>
            </w:pPr>
            <w:r w:rsidRPr="0051688E">
              <w:rPr>
                <w:b/>
                <w:bCs/>
                <w:sz w:val="18"/>
                <w:szCs w:val="18"/>
              </w:rPr>
              <w:t>Observação 2</w:t>
            </w:r>
          </w:p>
        </w:tc>
        <w:tc>
          <w:tcPr>
            <w:tcW w:w="1585" w:type="dxa"/>
          </w:tcPr>
          <w:p w14:paraId="65B450FE" w14:textId="7C42D52C" w:rsidR="00DF0DEC" w:rsidRPr="0051688E" w:rsidRDefault="00DF0DEC" w:rsidP="00DF0DEC">
            <w:pPr>
              <w:spacing w:after="0" w:line="240" w:lineRule="auto"/>
              <w:jc w:val="right"/>
              <w:rPr>
                <w:sz w:val="18"/>
                <w:szCs w:val="18"/>
              </w:rPr>
            </w:pPr>
            <w:r w:rsidRPr="0029591D">
              <w:t>4</w:t>
            </w:r>
          </w:p>
        </w:tc>
        <w:tc>
          <w:tcPr>
            <w:tcW w:w="1585" w:type="dxa"/>
          </w:tcPr>
          <w:p w14:paraId="5193FB9C" w14:textId="2B6B6466" w:rsidR="00DF0DEC" w:rsidRPr="0051688E" w:rsidRDefault="00DF0DEC" w:rsidP="00DF0DEC">
            <w:pPr>
              <w:spacing w:after="0" w:line="240" w:lineRule="auto"/>
              <w:jc w:val="right"/>
              <w:rPr>
                <w:sz w:val="18"/>
                <w:szCs w:val="18"/>
              </w:rPr>
            </w:pPr>
            <w:r w:rsidRPr="0029591D">
              <w:t>8</w:t>
            </w:r>
          </w:p>
        </w:tc>
        <w:tc>
          <w:tcPr>
            <w:tcW w:w="1585" w:type="dxa"/>
          </w:tcPr>
          <w:p w14:paraId="3528799F" w14:textId="18F5D647" w:rsidR="00DF0DEC" w:rsidRPr="0051688E" w:rsidRDefault="00DF0DEC" w:rsidP="00DF0DEC">
            <w:pPr>
              <w:spacing w:after="0" w:line="240" w:lineRule="auto"/>
              <w:jc w:val="right"/>
              <w:rPr>
                <w:sz w:val="18"/>
                <w:szCs w:val="18"/>
              </w:rPr>
            </w:pPr>
            <w:r w:rsidRPr="0029591D">
              <w:t>12</w:t>
            </w:r>
          </w:p>
        </w:tc>
        <w:tc>
          <w:tcPr>
            <w:tcW w:w="1586" w:type="dxa"/>
          </w:tcPr>
          <w:p w14:paraId="6CCE9C74" w14:textId="2D871255" w:rsidR="00DF0DEC" w:rsidRPr="0051688E" w:rsidRDefault="00DF0DEC" w:rsidP="00DF0DEC">
            <w:pPr>
              <w:spacing w:after="0" w:line="240" w:lineRule="auto"/>
              <w:jc w:val="right"/>
              <w:rPr>
                <w:sz w:val="18"/>
                <w:szCs w:val="18"/>
              </w:rPr>
            </w:pPr>
            <w:r w:rsidRPr="0029591D">
              <w:t>24</w:t>
            </w:r>
          </w:p>
        </w:tc>
      </w:tr>
      <w:tr w:rsidR="00DF0DEC" w:rsidRPr="0051688E" w14:paraId="770BA657" w14:textId="77777777" w:rsidTr="00226A28">
        <w:trPr>
          <w:trHeight w:val="283"/>
        </w:trPr>
        <w:tc>
          <w:tcPr>
            <w:tcW w:w="1585" w:type="dxa"/>
            <w:vAlign w:val="center"/>
          </w:tcPr>
          <w:p w14:paraId="5275FEC1" w14:textId="211372D3" w:rsidR="00DF0DEC" w:rsidRPr="0051688E" w:rsidRDefault="00DF0DEC" w:rsidP="00DF0DEC">
            <w:pPr>
              <w:spacing w:after="0" w:line="240" w:lineRule="auto"/>
              <w:jc w:val="left"/>
              <w:rPr>
                <w:b/>
                <w:bCs/>
                <w:sz w:val="18"/>
                <w:szCs w:val="18"/>
              </w:rPr>
            </w:pPr>
            <w:r w:rsidRPr="0051688E">
              <w:rPr>
                <w:b/>
                <w:bCs/>
                <w:sz w:val="18"/>
                <w:szCs w:val="18"/>
              </w:rPr>
              <w:t>Observação 3</w:t>
            </w:r>
          </w:p>
        </w:tc>
        <w:tc>
          <w:tcPr>
            <w:tcW w:w="1585" w:type="dxa"/>
          </w:tcPr>
          <w:p w14:paraId="13BB07FC" w14:textId="227142A7" w:rsidR="00DF0DEC" w:rsidRPr="0051688E" w:rsidRDefault="00DF0DEC" w:rsidP="00DF0DEC">
            <w:pPr>
              <w:spacing w:after="0" w:line="240" w:lineRule="auto"/>
              <w:jc w:val="right"/>
              <w:rPr>
                <w:sz w:val="18"/>
                <w:szCs w:val="18"/>
              </w:rPr>
            </w:pPr>
            <w:r w:rsidRPr="0029591D">
              <w:t>10</w:t>
            </w:r>
          </w:p>
        </w:tc>
        <w:tc>
          <w:tcPr>
            <w:tcW w:w="1585" w:type="dxa"/>
          </w:tcPr>
          <w:p w14:paraId="092E082C" w14:textId="78239FF2" w:rsidR="00DF0DEC" w:rsidRPr="0051688E" w:rsidRDefault="00DF0DEC" w:rsidP="00DF0DEC">
            <w:pPr>
              <w:spacing w:after="0" w:line="240" w:lineRule="auto"/>
              <w:jc w:val="right"/>
              <w:rPr>
                <w:sz w:val="18"/>
                <w:szCs w:val="18"/>
              </w:rPr>
            </w:pPr>
            <w:r w:rsidRPr="0029591D">
              <w:t>5</w:t>
            </w:r>
          </w:p>
        </w:tc>
        <w:tc>
          <w:tcPr>
            <w:tcW w:w="1585" w:type="dxa"/>
          </w:tcPr>
          <w:p w14:paraId="45FC273F" w14:textId="0D8C5A19" w:rsidR="00DF0DEC" w:rsidRPr="0051688E" w:rsidRDefault="00DF0DEC" w:rsidP="00DF0DEC">
            <w:pPr>
              <w:spacing w:after="0" w:line="240" w:lineRule="auto"/>
              <w:jc w:val="right"/>
              <w:rPr>
                <w:sz w:val="18"/>
                <w:szCs w:val="18"/>
              </w:rPr>
            </w:pPr>
            <w:r w:rsidRPr="0029591D">
              <w:t>9</w:t>
            </w:r>
          </w:p>
        </w:tc>
        <w:tc>
          <w:tcPr>
            <w:tcW w:w="1586" w:type="dxa"/>
          </w:tcPr>
          <w:p w14:paraId="757A7C9E" w14:textId="47FCFB83" w:rsidR="00DF0DEC" w:rsidRPr="0051688E" w:rsidRDefault="00DF0DEC" w:rsidP="00DF0DEC">
            <w:pPr>
              <w:spacing w:after="0" w:line="240" w:lineRule="auto"/>
              <w:jc w:val="right"/>
              <w:rPr>
                <w:sz w:val="18"/>
                <w:szCs w:val="18"/>
              </w:rPr>
            </w:pPr>
            <w:r w:rsidRPr="0029591D">
              <w:t>24</w:t>
            </w:r>
          </w:p>
        </w:tc>
      </w:tr>
      <w:tr w:rsidR="00DF0DEC" w:rsidRPr="0051688E" w14:paraId="7F5FBDC4" w14:textId="77777777" w:rsidTr="00226A28">
        <w:trPr>
          <w:trHeight w:val="283"/>
        </w:trPr>
        <w:tc>
          <w:tcPr>
            <w:tcW w:w="1585" w:type="dxa"/>
            <w:vAlign w:val="center"/>
          </w:tcPr>
          <w:p w14:paraId="14F95C02" w14:textId="2F75EFC7" w:rsidR="00DF0DEC" w:rsidRPr="0051688E" w:rsidRDefault="00DF0DEC" w:rsidP="00DF0DEC">
            <w:pPr>
              <w:spacing w:after="0" w:line="240" w:lineRule="auto"/>
              <w:jc w:val="left"/>
              <w:rPr>
                <w:b/>
                <w:bCs/>
                <w:sz w:val="18"/>
                <w:szCs w:val="18"/>
              </w:rPr>
            </w:pPr>
            <w:r w:rsidRPr="0051688E">
              <w:rPr>
                <w:b/>
                <w:bCs/>
                <w:sz w:val="18"/>
                <w:szCs w:val="18"/>
              </w:rPr>
              <w:t>Observação 4</w:t>
            </w:r>
          </w:p>
        </w:tc>
        <w:tc>
          <w:tcPr>
            <w:tcW w:w="1585" w:type="dxa"/>
          </w:tcPr>
          <w:p w14:paraId="3D4B6AB4" w14:textId="55788E06" w:rsidR="00DF0DEC" w:rsidRPr="0051688E" w:rsidRDefault="00DF0DEC" w:rsidP="00DF0DEC">
            <w:pPr>
              <w:spacing w:after="0" w:line="240" w:lineRule="auto"/>
              <w:jc w:val="right"/>
              <w:rPr>
                <w:sz w:val="18"/>
                <w:szCs w:val="18"/>
              </w:rPr>
            </w:pPr>
            <w:r w:rsidRPr="0029591D">
              <w:t>7</w:t>
            </w:r>
          </w:p>
        </w:tc>
        <w:tc>
          <w:tcPr>
            <w:tcW w:w="1585" w:type="dxa"/>
          </w:tcPr>
          <w:p w14:paraId="11495B27" w14:textId="095FE01A" w:rsidR="00DF0DEC" w:rsidRPr="0051688E" w:rsidRDefault="00DF0DEC" w:rsidP="00DF0DEC">
            <w:pPr>
              <w:spacing w:after="0" w:line="240" w:lineRule="auto"/>
              <w:jc w:val="right"/>
              <w:rPr>
                <w:sz w:val="18"/>
                <w:szCs w:val="18"/>
              </w:rPr>
            </w:pPr>
            <w:r w:rsidRPr="0029591D">
              <w:t>2</w:t>
            </w:r>
          </w:p>
        </w:tc>
        <w:tc>
          <w:tcPr>
            <w:tcW w:w="1585" w:type="dxa"/>
          </w:tcPr>
          <w:p w14:paraId="463A9FE3" w14:textId="2C9C19D4" w:rsidR="00DF0DEC" w:rsidRPr="0051688E" w:rsidRDefault="00DF0DEC" w:rsidP="00DF0DEC">
            <w:pPr>
              <w:spacing w:after="0" w:line="240" w:lineRule="auto"/>
              <w:jc w:val="right"/>
              <w:rPr>
                <w:sz w:val="18"/>
                <w:szCs w:val="18"/>
              </w:rPr>
            </w:pPr>
            <w:r w:rsidRPr="0029591D">
              <w:t>12</w:t>
            </w:r>
          </w:p>
        </w:tc>
        <w:tc>
          <w:tcPr>
            <w:tcW w:w="1586" w:type="dxa"/>
          </w:tcPr>
          <w:p w14:paraId="5214B48F" w14:textId="042F5D81" w:rsidR="00DF0DEC" w:rsidRPr="0051688E" w:rsidRDefault="00DF0DEC" w:rsidP="00DF0DEC">
            <w:pPr>
              <w:spacing w:after="0" w:line="240" w:lineRule="auto"/>
              <w:jc w:val="right"/>
              <w:rPr>
                <w:sz w:val="18"/>
                <w:szCs w:val="18"/>
              </w:rPr>
            </w:pPr>
            <w:r w:rsidRPr="0029591D">
              <w:t>21</w:t>
            </w:r>
          </w:p>
        </w:tc>
      </w:tr>
    </w:tbl>
    <w:p w14:paraId="0BC0F47B" w14:textId="2D8B606F" w:rsidR="00FB5059" w:rsidRDefault="00FB5059" w:rsidP="00E705FF"/>
    <w:p w14:paraId="427768F5" w14:textId="77D892A8" w:rsidR="00DF0DEC" w:rsidRDefault="00DF0DEC" w:rsidP="00DF0DEC">
      <w:r>
        <w:t xml:space="preserve">Utilize </w:t>
      </w:r>
      <w:r w:rsidRPr="00DF0DEC">
        <w:rPr>
          <w:b/>
          <w:bCs/>
        </w:rPr>
        <w:t>quadros</w:t>
      </w:r>
      <w:r w:rsidR="0065013E">
        <w:t xml:space="preserve"> para a apresentação de </w:t>
      </w:r>
      <w:r w:rsidR="0065013E" w:rsidRPr="0065013E">
        <w:rPr>
          <w:b/>
          <w:bCs/>
        </w:rPr>
        <w:t>dados ou informações textuais</w:t>
      </w:r>
      <w:r>
        <w:t>, p.ex.:</w:t>
      </w:r>
    </w:p>
    <w:p w14:paraId="13BA6A55" w14:textId="54425816" w:rsidR="00DF0DEC" w:rsidRDefault="00DF0DEC" w:rsidP="00DF0DEC">
      <w:pPr>
        <w:pStyle w:val="Legenda"/>
        <w:keepNext/>
      </w:pPr>
      <w:r w:rsidRPr="00DF0DEC">
        <w:rPr>
          <w:b/>
          <w:bCs/>
        </w:rPr>
        <w:t xml:space="preserve">Quadro </w:t>
      </w:r>
      <w:r w:rsidRPr="00DF0DEC">
        <w:rPr>
          <w:b/>
          <w:bCs/>
        </w:rPr>
        <w:fldChar w:fldCharType="begin"/>
      </w:r>
      <w:r w:rsidRPr="00DF0DEC">
        <w:rPr>
          <w:b/>
          <w:bCs/>
        </w:rPr>
        <w:instrText xml:space="preserve"> SEQ Quadro \* ARABIC </w:instrText>
      </w:r>
      <w:r w:rsidRPr="00DF0DEC">
        <w:rPr>
          <w:b/>
          <w:bCs/>
        </w:rPr>
        <w:fldChar w:fldCharType="separate"/>
      </w:r>
      <w:r w:rsidR="00CA54FE">
        <w:rPr>
          <w:b/>
          <w:bCs/>
          <w:noProof/>
        </w:rPr>
        <w:t>1</w:t>
      </w:r>
      <w:r w:rsidRPr="00DF0DEC">
        <w:rPr>
          <w:b/>
          <w:bCs/>
        </w:rPr>
        <w:fldChar w:fldCharType="end"/>
      </w:r>
      <w:r>
        <w:t xml:space="preserve">. Dimensões </w:t>
      </w:r>
      <w:r w:rsidRPr="007875CC">
        <w:t>observad</w:t>
      </w:r>
      <w:r>
        <w:t>a</w:t>
      </w:r>
      <w:r w:rsidRPr="007875CC">
        <w:t>s no estudo</w:t>
      </w:r>
      <w:r>
        <w:rPr>
          <w:noProof/>
        </w:rPr>
        <w:t>.</w:t>
      </w: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2642"/>
        <w:gridCol w:w="2642"/>
        <w:gridCol w:w="2642"/>
      </w:tblGrid>
      <w:tr w:rsidR="00DF0DEC" w:rsidRPr="00DF0DEC" w14:paraId="6BBE82F5" w14:textId="77777777" w:rsidTr="00F43AE2">
        <w:trPr>
          <w:trHeight w:val="510"/>
        </w:trPr>
        <w:tc>
          <w:tcPr>
            <w:tcW w:w="2642" w:type="dxa"/>
            <w:shd w:val="clear" w:color="auto" w:fill="F2F2F2" w:themeFill="background1" w:themeFillShade="F2"/>
            <w:vAlign w:val="center"/>
          </w:tcPr>
          <w:p w14:paraId="35DA56B2" w14:textId="63E4F19F" w:rsidR="00DF0DEC" w:rsidRPr="00DF0DEC" w:rsidRDefault="00DF0DEC" w:rsidP="00DF0DEC">
            <w:pPr>
              <w:spacing w:after="0" w:line="240" w:lineRule="auto"/>
              <w:jc w:val="left"/>
              <w:rPr>
                <w:b/>
                <w:bCs/>
                <w:sz w:val="20"/>
                <w:szCs w:val="20"/>
              </w:rPr>
            </w:pPr>
            <w:r w:rsidRPr="00DF0DEC">
              <w:rPr>
                <w:b/>
                <w:bCs/>
                <w:sz w:val="20"/>
                <w:szCs w:val="20"/>
              </w:rPr>
              <w:t>Dimensões de análise</w:t>
            </w:r>
          </w:p>
        </w:tc>
        <w:tc>
          <w:tcPr>
            <w:tcW w:w="2642" w:type="dxa"/>
            <w:shd w:val="clear" w:color="auto" w:fill="F2F2F2" w:themeFill="background1" w:themeFillShade="F2"/>
            <w:vAlign w:val="center"/>
          </w:tcPr>
          <w:p w14:paraId="143CA93B" w14:textId="2737714E" w:rsidR="00DF0DEC" w:rsidRPr="00DF0DEC" w:rsidRDefault="00DF0DEC" w:rsidP="00DF0DEC">
            <w:pPr>
              <w:spacing w:after="0" w:line="240" w:lineRule="auto"/>
              <w:jc w:val="left"/>
              <w:rPr>
                <w:b/>
                <w:bCs/>
                <w:sz w:val="20"/>
                <w:szCs w:val="20"/>
              </w:rPr>
            </w:pPr>
            <w:r w:rsidRPr="00DF0DEC">
              <w:rPr>
                <w:b/>
                <w:bCs/>
                <w:sz w:val="20"/>
                <w:szCs w:val="20"/>
              </w:rPr>
              <w:t>Descrição...</w:t>
            </w:r>
          </w:p>
        </w:tc>
        <w:tc>
          <w:tcPr>
            <w:tcW w:w="2642" w:type="dxa"/>
            <w:shd w:val="clear" w:color="auto" w:fill="F2F2F2" w:themeFill="background1" w:themeFillShade="F2"/>
            <w:vAlign w:val="center"/>
          </w:tcPr>
          <w:p w14:paraId="7635099B" w14:textId="1B4C554D" w:rsidR="00DF0DEC" w:rsidRPr="00DF0DEC" w:rsidRDefault="00DF0DEC" w:rsidP="00DF0DEC">
            <w:pPr>
              <w:spacing w:after="0" w:line="240" w:lineRule="auto"/>
              <w:jc w:val="left"/>
              <w:rPr>
                <w:b/>
                <w:bCs/>
                <w:sz w:val="20"/>
                <w:szCs w:val="20"/>
              </w:rPr>
            </w:pPr>
            <w:r w:rsidRPr="00DF0DEC">
              <w:rPr>
                <w:b/>
                <w:bCs/>
                <w:sz w:val="20"/>
                <w:szCs w:val="20"/>
              </w:rPr>
              <w:t>Descrição...</w:t>
            </w:r>
          </w:p>
        </w:tc>
      </w:tr>
      <w:tr w:rsidR="00DF0DEC" w:rsidRPr="00DF0DEC" w14:paraId="58818AB7" w14:textId="77777777" w:rsidTr="00F43AE2">
        <w:trPr>
          <w:trHeight w:val="510"/>
        </w:trPr>
        <w:tc>
          <w:tcPr>
            <w:tcW w:w="2642" w:type="dxa"/>
            <w:vAlign w:val="center"/>
          </w:tcPr>
          <w:p w14:paraId="06B2D064" w14:textId="4EB28896" w:rsidR="00DF0DEC" w:rsidRPr="00DF0DEC" w:rsidRDefault="00DF0DEC" w:rsidP="00DF0DEC">
            <w:pPr>
              <w:spacing w:after="0" w:line="240" w:lineRule="auto"/>
              <w:jc w:val="left"/>
              <w:rPr>
                <w:sz w:val="20"/>
                <w:szCs w:val="20"/>
              </w:rPr>
            </w:pPr>
            <w:r w:rsidRPr="00DF0DEC">
              <w:rPr>
                <w:sz w:val="20"/>
                <w:szCs w:val="20"/>
              </w:rPr>
              <w:t>Dimensão 1</w:t>
            </w:r>
          </w:p>
        </w:tc>
        <w:tc>
          <w:tcPr>
            <w:tcW w:w="2642" w:type="dxa"/>
            <w:vAlign w:val="center"/>
          </w:tcPr>
          <w:p w14:paraId="14F148A6" w14:textId="3CBD485A" w:rsidR="00DF0DEC" w:rsidRPr="00DF0DEC" w:rsidRDefault="00DF0DEC" w:rsidP="00DF0DEC">
            <w:pPr>
              <w:spacing w:after="0" w:line="240" w:lineRule="auto"/>
              <w:jc w:val="left"/>
              <w:rPr>
                <w:sz w:val="20"/>
                <w:szCs w:val="20"/>
              </w:rPr>
            </w:pPr>
            <w:r w:rsidRPr="00DF0DEC">
              <w:rPr>
                <w:sz w:val="20"/>
                <w:szCs w:val="20"/>
              </w:rPr>
              <w:t>Texto da descrição...</w:t>
            </w:r>
          </w:p>
        </w:tc>
        <w:tc>
          <w:tcPr>
            <w:tcW w:w="2642" w:type="dxa"/>
            <w:vAlign w:val="center"/>
          </w:tcPr>
          <w:p w14:paraId="077CC440" w14:textId="60D197A4" w:rsidR="00DF0DEC" w:rsidRPr="00DF0DEC" w:rsidRDefault="00DF0DEC" w:rsidP="00DF0DEC">
            <w:pPr>
              <w:spacing w:after="0" w:line="240" w:lineRule="auto"/>
              <w:jc w:val="left"/>
              <w:rPr>
                <w:sz w:val="20"/>
                <w:szCs w:val="20"/>
              </w:rPr>
            </w:pPr>
            <w:r w:rsidRPr="00DF0DEC">
              <w:rPr>
                <w:sz w:val="20"/>
                <w:szCs w:val="20"/>
              </w:rPr>
              <w:t>Texto da descrição...</w:t>
            </w:r>
          </w:p>
        </w:tc>
      </w:tr>
      <w:tr w:rsidR="00DF0DEC" w:rsidRPr="00DF0DEC" w14:paraId="44D31576" w14:textId="77777777" w:rsidTr="00F43AE2">
        <w:trPr>
          <w:trHeight w:val="510"/>
        </w:trPr>
        <w:tc>
          <w:tcPr>
            <w:tcW w:w="2642" w:type="dxa"/>
            <w:vAlign w:val="center"/>
          </w:tcPr>
          <w:p w14:paraId="7CB3628C" w14:textId="2F9A151C" w:rsidR="00DF0DEC" w:rsidRPr="00DF0DEC" w:rsidRDefault="00DF0DEC" w:rsidP="00DF0DEC">
            <w:pPr>
              <w:spacing w:after="0" w:line="240" w:lineRule="auto"/>
              <w:jc w:val="left"/>
              <w:rPr>
                <w:sz w:val="20"/>
                <w:szCs w:val="20"/>
              </w:rPr>
            </w:pPr>
            <w:r w:rsidRPr="00DF0DEC">
              <w:rPr>
                <w:sz w:val="20"/>
                <w:szCs w:val="20"/>
              </w:rPr>
              <w:t>Dimensão 2</w:t>
            </w:r>
          </w:p>
        </w:tc>
        <w:tc>
          <w:tcPr>
            <w:tcW w:w="2642" w:type="dxa"/>
            <w:vAlign w:val="center"/>
          </w:tcPr>
          <w:p w14:paraId="08D88D6C" w14:textId="22B04EF3" w:rsidR="00DF0DEC" w:rsidRPr="00DF0DEC" w:rsidRDefault="00DF0DEC" w:rsidP="00DF0DEC">
            <w:pPr>
              <w:spacing w:after="0" w:line="240" w:lineRule="auto"/>
              <w:jc w:val="left"/>
              <w:rPr>
                <w:sz w:val="20"/>
                <w:szCs w:val="20"/>
              </w:rPr>
            </w:pPr>
            <w:r w:rsidRPr="00DF0DEC">
              <w:rPr>
                <w:sz w:val="20"/>
                <w:szCs w:val="20"/>
              </w:rPr>
              <w:t>Texto da descrição...</w:t>
            </w:r>
          </w:p>
        </w:tc>
        <w:tc>
          <w:tcPr>
            <w:tcW w:w="2642" w:type="dxa"/>
            <w:vAlign w:val="center"/>
          </w:tcPr>
          <w:p w14:paraId="76B625BF" w14:textId="63B366D6" w:rsidR="00DF0DEC" w:rsidRPr="00DF0DEC" w:rsidRDefault="00DF0DEC" w:rsidP="00DF0DEC">
            <w:pPr>
              <w:spacing w:after="0" w:line="240" w:lineRule="auto"/>
              <w:jc w:val="left"/>
              <w:rPr>
                <w:sz w:val="20"/>
                <w:szCs w:val="20"/>
              </w:rPr>
            </w:pPr>
            <w:r w:rsidRPr="00DF0DEC">
              <w:rPr>
                <w:sz w:val="20"/>
                <w:szCs w:val="20"/>
              </w:rPr>
              <w:t>Texto da descrição...</w:t>
            </w:r>
          </w:p>
        </w:tc>
      </w:tr>
    </w:tbl>
    <w:p w14:paraId="12BB694F" w14:textId="489EE297" w:rsidR="00DE24B8" w:rsidRDefault="00DE24B8" w:rsidP="00DE24B8">
      <w:pPr>
        <w:pStyle w:val="Ttulo3"/>
      </w:pPr>
      <w:r>
        <w:t>Seção terciária</w:t>
      </w:r>
    </w:p>
    <w:p w14:paraId="18077BAE" w14:textId="7EEF4AA5" w:rsidR="00FA4B32" w:rsidRPr="00FB5059" w:rsidRDefault="00FA4B32" w:rsidP="00FA4B32">
      <w:r>
        <w:t>Exemplo de seção terciária. Substituir este texto pelo do manuscrito...</w:t>
      </w:r>
    </w:p>
    <w:p w14:paraId="3341AC4C" w14:textId="4820C349" w:rsidR="00DF0DEC" w:rsidRDefault="00DF0DEC" w:rsidP="00DF0DEC">
      <w:pPr>
        <w:pStyle w:val="Legenda"/>
        <w:keepNext/>
        <w:jc w:val="both"/>
      </w:pPr>
      <w:r w:rsidRPr="00DF0DEC">
        <w:rPr>
          <w:b/>
          <w:bCs/>
        </w:rPr>
        <w:lastRenderedPageBreak/>
        <w:t xml:space="preserve">Figura </w:t>
      </w:r>
      <w:r w:rsidRPr="00DF0DEC">
        <w:rPr>
          <w:b/>
          <w:bCs/>
        </w:rPr>
        <w:fldChar w:fldCharType="begin"/>
      </w:r>
      <w:r w:rsidRPr="00DF0DEC">
        <w:rPr>
          <w:b/>
          <w:bCs/>
        </w:rPr>
        <w:instrText xml:space="preserve"> SEQ Figura \* ARABIC </w:instrText>
      </w:r>
      <w:r w:rsidRPr="00DF0DEC">
        <w:rPr>
          <w:b/>
          <w:bCs/>
        </w:rPr>
        <w:fldChar w:fldCharType="separate"/>
      </w:r>
      <w:r w:rsidR="00CA54FE">
        <w:rPr>
          <w:b/>
          <w:bCs/>
          <w:noProof/>
        </w:rPr>
        <w:t>1</w:t>
      </w:r>
      <w:r w:rsidRPr="00DF0DEC">
        <w:rPr>
          <w:b/>
          <w:bCs/>
        </w:rPr>
        <w:fldChar w:fldCharType="end"/>
      </w:r>
      <w:r>
        <w:t xml:space="preserve">. </w:t>
      </w:r>
      <w:r w:rsidRPr="009C223C">
        <w:t>Relação dos fenômenos observados no estudo.</w:t>
      </w:r>
    </w:p>
    <w:p w14:paraId="1BE53017" w14:textId="239FFB51" w:rsidR="0051688E" w:rsidRDefault="00DF0DEC" w:rsidP="00E705FF">
      <w:r>
        <w:rPr>
          <w:noProof/>
        </w:rPr>
        <w:drawing>
          <wp:inline distT="0" distB="0" distL="0" distR="0" wp14:anchorId="2178D337" wp14:editId="334BAEA3">
            <wp:extent cx="4572000" cy="2743200"/>
            <wp:effectExtent l="0" t="0" r="0" b="0"/>
            <wp:docPr id="1" name="Gráfico 1">
              <a:extLst xmlns:a="http://schemas.openxmlformats.org/drawingml/2006/main">
                <a:ext uri="{FF2B5EF4-FFF2-40B4-BE49-F238E27FC236}">
                  <a16:creationId xmlns:a16="http://schemas.microsoft.com/office/drawing/2014/main" id="{43691499-375C-4934-903D-7961FB47F8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50F16E" w14:textId="68FD6936" w:rsidR="00D0184A" w:rsidRDefault="00D0184A" w:rsidP="00E705FF">
      <w:r w:rsidRPr="00D0184A">
        <w:t>Figuras, gráficos, quadros, tabelas e demais ilustrações devem, sempre que possível, ser apresentadas em formato editável, ou seja, no mesmo formato dos programas de edição com os quais foram criadas. Nos casos de fotografias ou imagens digitalizadas, apresentar com resolução mínima de 300dpi.</w:t>
      </w:r>
    </w:p>
    <w:p w14:paraId="6A44A7DC" w14:textId="4E3915BD" w:rsidR="00DF0DEC" w:rsidRDefault="00DE24B8" w:rsidP="00DE24B8">
      <w:pPr>
        <w:pStyle w:val="Ttulo1"/>
      </w:pPr>
      <w:r>
        <w:t>Conclusões</w:t>
      </w:r>
    </w:p>
    <w:p w14:paraId="77EEBEF5" w14:textId="3D319FE2" w:rsidR="00DE24B8" w:rsidRPr="00DE24B8" w:rsidRDefault="00472143" w:rsidP="00DE24B8">
      <w:r>
        <w:t>Exemplo de seção primária. Substituir este texto pelo do manuscrito...</w:t>
      </w:r>
    </w:p>
    <w:p w14:paraId="01DE814E" w14:textId="19011403" w:rsidR="00DF0DEC" w:rsidRDefault="00DF0DEC" w:rsidP="00DF0DEC">
      <w:pPr>
        <w:pStyle w:val="Ttulo1"/>
      </w:pPr>
      <w:r>
        <w:t>Agradecimentos</w:t>
      </w:r>
    </w:p>
    <w:p w14:paraId="59697714" w14:textId="768254F8" w:rsidR="004A5AF4" w:rsidRPr="004A5AF4" w:rsidRDefault="0058627B" w:rsidP="004A5AF4">
      <w:r w:rsidRPr="0058627B">
        <w:t>Devem ser sucintos, contemplando agradecimentos pessoais ou institucionais.</w:t>
      </w:r>
    </w:p>
    <w:p w14:paraId="6D0EF000" w14:textId="2F30254B" w:rsidR="00DF0DEC" w:rsidRDefault="00DF0DEC" w:rsidP="00DF0DEC">
      <w:pPr>
        <w:pStyle w:val="Ttulo1"/>
      </w:pPr>
      <w:r>
        <w:t>Financiamento</w:t>
      </w:r>
    </w:p>
    <w:p w14:paraId="0631CB68" w14:textId="2AE7C001" w:rsidR="00DF0DEC" w:rsidRDefault="0058627B" w:rsidP="00E705FF">
      <w:r w:rsidRPr="0058627B">
        <w:t xml:space="preserve">Seção para a indicação ou agradecimento das fontes de financiamento do estudo. Indicar, logo após seção de Agradecimentos, com o nome completo, por extenso, da instituição de fomento e, quando disponível, o número de </w:t>
      </w:r>
      <w:proofErr w:type="spellStart"/>
      <w:r w:rsidRPr="0058627B">
        <w:t>processo</w:t>
      </w:r>
      <w:proofErr w:type="spellEnd"/>
      <w:r w:rsidRPr="0058627B">
        <w:t xml:space="preserve"> referente ao recurso.</w:t>
      </w:r>
    </w:p>
    <w:p w14:paraId="2236AC58" w14:textId="341FF0FF" w:rsidR="00DF0DEC" w:rsidRDefault="00DF0DEC" w:rsidP="00DF0DEC">
      <w:pPr>
        <w:pStyle w:val="Ttulo1"/>
      </w:pPr>
      <w:r>
        <w:t>Disponibilidade de dados</w:t>
      </w:r>
    </w:p>
    <w:p w14:paraId="486D3E4D" w14:textId="2DFF5E76" w:rsidR="0065013E" w:rsidRPr="0065013E" w:rsidRDefault="0058627B" w:rsidP="0065013E">
      <w:r>
        <w:t xml:space="preserve">Exemplo de texto para indicação da disponibilidade de dados: </w:t>
      </w:r>
      <w:r w:rsidRPr="0058627B">
        <w:t>Todo o conjunto de [dados / software] que ampara os resultados deste estudo foi disponibilizado no [nome do repositório] e pode ser acessado em [URL / DOI].</w:t>
      </w:r>
    </w:p>
    <w:p w14:paraId="69616971" w14:textId="564EF65C" w:rsidR="00DF0DEC" w:rsidRDefault="00DF0DEC" w:rsidP="00DF0DEC">
      <w:pPr>
        <w:pStyle w:val="Ttulo1"/>
      </w:pPr>
      <w:r>
        <w:lastRenderedPageBreak/>
        <w:t>Referências</w:t>
      </w:r>
    </w:p>
    <w:p w14:paraId="1CCC2202" w14:textId="28A7D8C7" w:rsidR="00DF0DEC" w:rsidRDefault="00A0157D" w:rsidP="00E705FF">
      <w:r>
        <w:t>A lista de referências deve ser organizada de acordo com as orientações da ISO 690: 2010. Mantenha a lista alinhada à margem esquerda, com espaçamento simples, e com o espaço de uma linha (12 pontos) entre cada referência. Exemplos de referências para variados tipos de documentos estão disponíveis a seguir.</w:t>
      </w:r>
    </w:p>
    <w:p w14:paraId="472389E5" w14:textId="77777777" w:rsidR="00A0157D" w:rsidRPr="00A0157D" w:rsidRDefault="00A0157D" w:rsidP="00A0157D">
      <w:pPr>
        <w:spacing w:line="240" w:lineRule="auto"/>
        <w:jc w:val="left"/>
      </w:pPr>
      <w:r w:rsidRPr="00472143">
        <w:rPr>
          <w:lang w:val="en-US"/>
        </w:rPr>
        <w:t xml:space="preserve">ALBORNOZ, Denisse Alejandra, 2017. Power and inequality in open science discourses. </w:t>
      </w:r>
      <w:proofErr w:type="spellStart"/>
      <w:r w:rsidRPr="00A0157D">
        <w:rPr>
          <w:i/>
          <w:iCs/>
        </w:rPr>
        <w:t>Medium</w:t>
      </w:r>
      <w:proofErr w:type="spellEnd"/>
      <w:r w:rsidRPr="00A0157D">
        <w:t xml:space="preserve"> [em linha]. 20 novembro 2017. [Acesso em 23 novembro 2017]. Disponível em: </w:t>
      </w:r>
      <w:hyperlink r:id="rId10" w:history="1">
        <w:r w:rsidRPr="00A0157D">
          <w:rPr>
            <w:rStyle w:val="Hyperlink"/>
          </w:rPr>
          <w:t>https://medium.com/@denalbz/power-and-inequality-in-open-science-discourses-9d425b0c2b63</w:t>
        </w:r>
      </w:hyperlink>
    </w:p>
    <w:p w14:paraId="396DF906" w14:textId="77777777" w:rsidR="00A0157D" w:rsidRPr="00A0157D" w:rsidRDefault="00A0157D" w:rsidP="00A0157D">
      <w:pPr>
        <w:spacing w:line="240" w:lineRule="auto"/>
        <w:jc w:val="left"/>
      </w:pPr>
      <w:r w:rsidRPr="00472143">
        <w:rPr>
          <w:lang w:val="en-US"/>
        </w:rPr>
        <w:t xml:space="preserve">ALPERIN, Juan Pablo, FISCHMAN, Gustavo e WILLINSKY, John, 2008. Open access and scholarly publishing in Latin America: ten </w:t>
      </w:r>
      <w:proofErr w:type="spellStart"/>
      <w:r w:rsidRPr="00472143">
        <w:rPr>
          <w:lang w:val="en-US"/>
        </w:rPr>
        <w:t>flavours</w:t>
      </w:r>
      <w:proofErr w:type="spellEnd"/>
      <w:r w:rsidRPr="00472143">
        <w:rPr>
          <w:lang w:val="en-US"/>
        </w:rPr>
        <w:t xml:space="preserve"> and a few reflections. </w:t>
      </w:r>
      <w:proofErr w:type="spellStart"/>
      <w:r w:rsidRPr="00A0157D">
        <w:rPr>
          <w:i/>
          <w:iCs/>
        </w:rPr>
        <w:t>Liinc</w:t>
      </w:r>
      <w:proofErr w:type="spellEnd"/>
      <w:r w:rsidRPr="00A0157D">
        <w:rPr>
          <w:i/>
          <w:iCs/>
        </w:rPr>
        <w:t xml:space="preserve"> em Revista</w:t>
      </w:r>
      <w:r w:rsidRPr="00A0157D">
        <w:t xml:space="preserve"> [em linha]. 2008. vol. 4, no. 2, p. 172–185. [Acesso em 8 março 2017]. DOI </w:t>
      </w:r>
      <w:hyperlink r:id="rId11" w:history="1">
        <w:r w:rsidRPr="00A0157D">
          <w:rPr>
            <w:rStyle w:val="Hyperlink"/>
          </w:rPr>
          <w:t>10.18617/liinc.v4i2.269</w:t>
        </w:r>
      </w:hyperlink>
      <w:r w:rsidRPr="00A0157D">
        <w:t xml:space="preserve">. Disponível em: </w:t>
      </w:r>
      <w:hyperlink r:id="rId12" w:history="1">
        <w:r w:rsidRPr="00A0157D">
          <w:rPr>
            <w:rStyle w:val="Hyperlink"/>
          </w:rPr>
          <w:t>http://dx.doi.org/10.18617/liinc.v4i2.269</w:t>
        </w:r>
      </w:hyperlink>
    </w:p>
    <w:p w14:paraId="09C80656" w14:textId="77777777" w:rsidR="00A0157D" w:rsidRPr="00A0157D" w:rsidRDefault="00A0157D" w:rsidP="00A0157D">
      <w:pPr>
        <w:spacing w:line="240" w:lineRule="auto"/>
        <w:jc w:val="left"/>
      </w:pPr>
      <w:r w:rsidRPr="00472143">
        <w:rPr>
          <w:lang w:val="en-US"/>
        </w:rPr>
        <w:t xml:space="preserve">BERNAL, John Desmond, 1939. </w:t>
      </w:r>
      <w:r w:rsidRPr="00472143">
        <w:rPr>
          <w:i/>
          <w:iCs/>
          <w:lang w:val="en-US"/>
        </w:rPr>
        <w:t>Social function of Science</w:t>
      </w:r>
      <w:r w:rsidRPr="00472143">
        <w:rPr>
          <w:lang w:val="en-US"/>
        </w:rPr>
        <w:t xml:space="preserve"> [</w:t>
      </w:r>
      <w:proofErr w:type="spellStart"/>
      <w:r w:rsidRPr="00472143">
        <w:rPr>
          <w:lang w:val="en-US"/>
        </w:rPr>
        <w:t>em</w:t>
      </w:r>
      <w:proofErr w:type="spellEnd"/>
      <w:r w:rsidRPr="00472143">
        <w:rPr>
          <w:lang w:val="en-US"/>
        </w:rPr>
        <w:t xml:space="preserve"> </w:t>
      </w:r>
      <w:proofErr w:type="spellStart"/>
      <w:r w:rsidRPr="00472143">
        <w:rPr>
          <w:lang w:val="en-US"/>
        </w:rPr>
        <w:t>linha</w:t>
      </w:r>
      <w:proofErr w:type="spellEnd"/>
      <w:r w:rsidRPr="00472143">
        <w:rPr>
          <w:lang w:val="en-US"/>
        </w:rPr>
        <w:t xml:space="preserve">]. </w:t>
      </w:r>
      <w:r w:rsidRPr="00A0157D">
        <w:t xml:space="preserve">London, </w:t>
      </w:r>
      <w:proofErr w:type="spellStart"/>
      <w:r w:rsidRPr="00A0157D">
        <w:t>England</w:t>
      </w:r>
      <w:proofErr w:type="spellEnd"/>
      <w:r w:rsidRPr="00A0157D">
        <w:t xml:space="preserve">: Lowe </w:t>
      </w:r>
      <w:proofErr w:type="spellStart"/>
      <w:r w:rsidRPr="00A0157D">
        <w:t>and</w:t>
      </w:r>
      <w:proofErr w:type="spellEnd"/>
      <w:r w:rsidRPr="00A0157D">
        <w:t xml:space="preserve"> </w:t>
      </w:r>
      <w:proofErr w:type="spellStart"/>
      <w:r w:rsidRPr="00A0157D">
        <w:t>Brydone</w:t>
      </w:r>
      <w:proofErr w:type="spellEnd"/>
      <w:r w:rsidRPr="00A0157D">
        <w:t xml:space="preserve">. [Acesso em 4 maio 2019]. Disponível em: </w:t>
      </w:r>
      <w:hyperlink r:id="rId13" w:history="1">
        <w:r w:rsidRPr="00A0157D">
          <w:rPr>
            <w:rStyle w:val="Hyperlink"/>
          </w:rPr>
          <w:t>https://archive.org/details/in.ernet.dli.2015.49995</w:t>
        </w:r>
      </w:hyperlink>
    </w:p>
    <w:p w14:paraId="59A7C085" w14:textId="77777777" w:rsidR="00A0157D" w:rsidRPr="00472143" w:rsidRDefault="00A0157D" w:rsidP="00A0157D">
      <w:pPr>
        <w:spacing w:line="240" w:lineRule="auto"/>
        <w:jc w:val="left"/>
        <w:rPr>
          <w:lang w:val="en-US"/>
        </w:rPr>
      </w:pPr>
      <w:r w:rsidRPr="00A0157D">
        <w:t xml:space="preserve">BOURDIEU, Pierre, 1983. O campo científico. Em: </w:t>
      </w:r>
      <w:r w:rsidRPr="00A0157D">
        <w:rPr>
          <w:i/>
          <w:iCs/>
        </w:rPr>
        <w:t>Bourdieu: sociologia</w:t>
      </w:r>
      <w:r w:rsidRPr="00A0157D">
        <w:t xml:space="preserve">. </w:t>
      </w:r>
      <w:r w:rsidRPr="00472143">
        <w:rPr>
          <w:lang w:val="en-US"/>
        </w:rPr>
        <w:t xml:space="preserve">São Paulo, SP: </w:t>
      </w:r>
      <w:proofErr w:type="spellStart"/>
      <w:r w:rsidRPr="00472143">
        <w:rPr>
          <w:lang w:val="en-US"/>
        </w:rPr>
        <w:t>Ática</w:t>
      </w:r>
      <w:proofErr w:type="spellEnd"/>
      <w:r w:rsidRPr="00472143">
        <w:rPr>
          <w:lang w:val="en-US"/>
        </w:rPr>
        <w:t xml:space="preserve">. p. 122–155. </w:t>
      </w:r>
    </w:p>
    <w:p w14:paraId="13919FC3" w14:textId="77777777" w:rsidR="00A0157D" w:rsidRPr="00A0157D" w:rsidRDefault="00A0157D" w:rsidP="00A0157D">
      <w:pPr>
        <w:spacing w:line="240" w:lineRule="auto"/>
        <w:jc w:val="left"/>
      </w:pPr>
      <w:r w:rsidRPr="00472143">
        <w:rPr>
          <w:lang w:val="en-US"/>
        </w:rPr>
        <w:t xml:space="preserve">EVE, Martin Paul, 2020. Some tips on writing a data management plan for the humanities. </w:t>
      </w:r>
      <w:r w:rsidRPr="00A0157D">
        <w:rPr>
          <w:i/>
          <w:iCs/>
        </w:rPr>
        <w:t>Twitter: @martin_eve</w:t>
      </w:r>
      <w:r w:rsidRPr="00A0157D">
        <w:t xml:space="preserve"> [em linha]. 11 fevereiro 2020. [Acesso em 11 fevereiro 2020]. Disponível em: </w:t>
      </w:r>
      <w:hyperlink r:id="rId14" w:history="1">
        <w:r w:rsidRPr="00A0157D">
          <w:rPr>
            <w:rStyle w:val="Hyperlink"/>
          </w:rPr>
          <w:t>https://twitter.com/martin_eve/status/1227240006344835073</w:t>
        </w:r>
      </w:hyperlink>
    </w:p>
    <w:p w14:paraId="54AAAF77" w14:textId="77777777" w:rsidR="00A0157D" w:rsidRPr="00A0157D" w:rsidRDefault="00A0157D" w:rsidP="00A0157D">
      <w:pPr>
        <w:spacing w:line="240" w:lineRule="auto"/>
        <w:jc w:val="left"/>
      </w:pPr>
      <w:r w:rsidRPr="00A0157D">
        <w:rPr>
          <w:lang w:val="es-419"/>
        </w:rPr>
        <w:t xml:space="preserve">GONZÁLEZ DE GÓMEZ, </w:t>
      </w:r>
      <w:proofErr w:type="spellStart"/>
      <w:r w:rsidRPr="00A0157D">
        <w:rPr>
          <w:lang w:val="es-419"/>
        </w:rPr>
        <w:t>Maria</w:t>
      </w:r>
      <w:proofErr w:type="spellEnd"/>
      <w:r w:rsidRPr="00A0157D">
        <w:rPr>
          <w:lang w:val="es-419"/>
        </w:rPr>
        <w:t xml:space="preserve"> Nélida, 2013. </w:t>
      </w:r>
      <w:r w:rsidRPr="00A0157D">
        <w:t xml:space="preserve">Sobre normas e algoritmos: os critérios de validade da ciência e da informação. Em: </w:t>
      </w:r>
      <w:r w:rsidRPr="00A0157D">
        <w:rPr>
          <w:i/>
          <w:iCs/>
        </w:rPr>
        <w:t>Encontro Nacional de Pesquisa em Ciência da Informação</w:t>
      </w:r>
      <w:r w:rsidRPr="00A0157D">
        <w:t xml:space="preserve"> [em linha]. Florianópolis, SC: </w:t>
      </w:r>
      <w:proofErr w:type="spellStart"/>
      <w:r w:rsidRPr="00A0157D">
        <w:t>Ancib</w:t>
      </w:r>
      <w:proofErr w:type="spellEnd"/>
      <w:r w:rsidRPr="00A0157D">
        <w:t xml:space="preserve">; UFSC. 2013. [Acesso em 1 novembro 2015]. 16. Disponível em: </w:t>
      </w:r>
      <w:hyperlink r:id="rId15" w:history="1">
        <w:r w:rsidRPr="00A0157D">
          <w:rPr>
            <w:rStyle w:val="Hyperlink"/>
          </w:rPr>
          <w:t>http://repositorio.ibict.br/handle/123456789/463</w:t>
        </w:r>
      </w:hyperlink>
    </w:p>
    <w:p w14:paraId="331A47D7" w14:textId="37AC983E" w:rsidR="00A0157D" w:rsidRPr="00472143" w:rsidRDefault="00A0157D" w:rsidP="00A0157D">
      <w:pPr>
        <w:spacing w:line="240" w:lineRule="auto"/>
        <w:jc w:val="left"/>
        <w:rPr>
          <w:lang w:val="en-US"/>
        </w:rPr>
      </w:pPr>
      <w:r w:rsidRPr="00A0157D">
        <w:t xml:space="preserve">GUÉDON, Jean-Claude, 2010. Acesso aberto e divisão entre ciência predominante e ciência periférica. Em: </w:t>
      </w:r>
      <w:r w:rsidRPr="00A0157D">
        <w:rPr>
          <w:i/>
          <w:iCs/>
        </w:rPr>
        <w:t>Acessibilidade e visibilidade de revistas científicas eletrônicas</w:t>
      </w:r>
      <w:r w:rsidRPr="00A0157D">
        <w:t xml:space="preserve">. São Paulo, SP: </w:t>
      </w:r>
      <w:proofErr w:type="spellStart"/>
      <w:r w:rsidRPr="00A0157D">
        <w:t>Cengage</w:t>
      </w:r>
      <w:proofErr w:type="spellEnd"/>
      <w:r w:rsidRPr="00A0157D">
        <w:t xml:space="preserve"> Learning; Senac. p. 21–78.</w:t>
      </w:r>
    </w:p>
    <w:p w14:paraId="1242D442" w14:textId="77777777" w:rsidR="00A0157D" w:rsidRPr="00A0157D" w:rsidRDefault="00A0157D" w:rsidP="00A0157D">
      <w:pPr>
        <w:spacing w:line="240" w:lineRule="auto"/>
        <w:jc w:val="left"/>
      </w:pPr>
      <w:r w:rsidRPr="00472143">
        <w:rPr>
          <w:lang w:val="en-US"/>
        </w:rPr>
        <w:t xml:space="preserve">HESS, Charlotte, 2008. Mapping the new commons. </w:t>
      </w:r>
      <w:proofErr w:type="spellStart"/>
      <w:r w:rsidRPr="00472143">
        <w:rPr>
          <w:lang w:val="en-US"/>
        </w:rPr>
        <w:t>Em</w:t>
      </w:r>
      <w:proofErr w:type="spellEnd"/>
      <w:r w:rsidRPr="00472143">
        <w:rPr>
          <w:lang w:val="en-US"/>
        </w:rPr>
        <w:t xml:space="preserve">: </w:t>
      </w:r>
      <w:r w:rsidRPr="00472143">
        <w:rPr>
          <w:i/>
          <w:iCs/>
          <w:lang w:val="en-US"/>
        </w:rPr>
        <w:t>Proceedings of the Biennial Conference of the International Association for the Study of the Commons</w:t>
      </w:r>
      <w:r w:rsidRPr="00472143">
        <w:rPr>
          <w:lang w:val="en-US"/>
        </w:rPr>
        <w:t xml:space="preserve"> [</w:t>
      </w:r>
      <w:proofErr w:type="spellStart"/>
      <w:r w:rsidRPr="00472143">
        <w:rPr>
          <w:lang w:val="en-US"/>
        </w:rPr>
        <w:t>em</w:t>
      </w:r>
      <w:proofErr w:type="spellEnd"/>
      <w:r w:rsidRPr="00472143">
        <w:rPr>
          <w:lang w:val="en-US"/>
        </w:rPr>
        <w:t xml:space="preserve"> </w:t>
      </w:r>
      <w:proofErr w:type="spellStart"/>
      <w:r w:rsidRPr="00472143">
        <w:rPr>
          <w:lang w:val="en-US"/>
        </w:rPr>
        <w:t>linha</w:t>
      </w:r>
      <w:proofErr w:type="spellEnd"/>
      <w:r w:rsidRPr="00472143">
        <w:rPr>
          <w:lang w:val="en-US"/>
        </w:rPr>
        <w:t xml:space="preserve">]. </w:t>
      </w:r>
      <w:proofErr w:type="spellStart"/>
      <w:r w:rsidRPr="00A0157D">
        <w:t>Cheltenham</w:t>
      </w:r>
      <w:proofErr w:type="spellEnd"/>
      <w:r w:rsidRPr="00A0157D">
        <w:t xml:space="preserve">, UK: SSRN. 2008. p. 14–18. [Acesso em 26 junho 2017]. Disponível em: </w:t>
      </w:r>
      <w:hyperlink r:id="rId16" w:history="1">
        <w:r w:rsidRPr="00A0157D">
          <w:rPr>
            <w:rStyle w:val="Hyperlink"/>
          </w:rPr>
          <w:t>https://papers.ssrn.com/sol3/papers.cfm?abstract_id=1356835</w:t>
        </w:r>
      </w:hyperlink>
    </w:p>
    <w:p w14:paraId="28D59097" w14:textId="77777777" w:rsidR="00A0157D" w:rsidRPr="00A0157D" w:rsidRDefault="00A0157D" w:rsidP="00A0157D">
      <w:pPr>
        <w:spacing w:line="240" w:lineRule="auto"/>
        <w:jc w:val="left"/>
      </w:pPr>
      <w:r w:rsidRPr="00A0157D">
        <w:t xml:space="preserve">MOURA, Maria Aparecida, 2009. Informação e conhecimento em redes virtuais de cooperação científica: necessidades, ferramentas e usos. </w:t>
      </w:r>
      <w:proofErr w:type="spellStart"/>
      <w:r w:rsidRPr="00A0157D">
        <w:rPr>
          <w:i/>
          <w:iCs/>
        </w:rPr>
        <w:t>DataGramaZero</w:t>
      </w:r>
      <w:proofErr w:type="spellEnd"/>
      <w:r w:rsidRPr="00A0157D">
        <w:rPr>
          <w:i/>
          <w:iCs/>
        </w:rPr>
        <w:t>: Revista de Ciência da Informação</w:t>
      </w:r>
      <w:r w:rsidRPr="00A0157D">
        <w:t xml:space="preserve"> [em linha]. 2009. vol. 10, no. 2. [Acesso em 8 junho 2020]. Disponível em: </w:t>
      </w:r>
      <w:hyperlink r:id="rId17" w:history="1">
        <w:r w:rsidRPr="00A0157D">
          <w:rPr>
            <w:rStyle w:val="Hyperlink"/>
          </w:rPr>
          <w:t>https://brapci.inf.br/index.php/article/download/7591</w:t>
        </w:r>
      </w:hyperlink>
    </w:p>
    <w:p w14:paraId="2418B591" w14:textId="77777777" w:rsidR="00A0157D" w:rsidRPr="00A0157D" w:rsidRDefault="00A0157D" w:rsidP="00A0157D">
      <w:pPr>
        <w:spacing w:line="240" w:lineRule="auto"/>
        <w:jc w:val="left"/>
      </w:pPr>
      <w:r w:rsidRPr="00A0157D">
        <w:t xml:space="preserve">POMBO, Olga, 2005. Interdisciplinaridade e integração dos saberes. </w:t>
      </w:r>
      <w:proofErr w:type="spellStart"/>
      <w:r w:rsidRPr="00A0157D">
        <w:rPr>
          <w:i/>
          <w:iCs/>
        </w:rPr>
        <w:t>Liinc</w:t>
      </w:r>
      <w:proofErr w:type="spellEnd"/>
      <w:r w:rsidRPr="00A0157D">
        <w:rPr>
          <w:i/>
          <w:iCs/>
        </w:rPr>
        <w:t xml:space="preserve"> em Revista</w:t>
      </w:r>
      <w:r w:rsidRPr="00A0157D">
        <w:t xml:space="preserve"> [em linha]. 2005. vol. 1, no. 2, p. 3–15. [Acesso em 8 junho 2020]. DOI </w:t>
      </w:r>
      <w:hyperlink r:id="rId18" w:history="1">
        <w:r w:rsidRPr="00A0157D">
          <w:rPr>
            <w:rStyle w:val="Hyperlink"/>
          </w:rPr>
          <w:t>10.18617/liinc.v1i1.186</w:t>
        </w:r>
      </w:hyperlink>
      <w:r w:rsidRPr="00A0157D">
        <w:t xml:space="preserve">. Disponível em: </w:t>
      </w:r>
      <w:hyperlink r:id="rId19" w:history="1">
        <w:r w:rsidRPr="00A0157D">
          <w:rPr>
            <w:rStyle w:val="Hyperlink"/>
          </w:rPr>
          <w:t>http://revista.ibict.br/liinc/article/view/3082</w:t>
        </w:r>
      </w:hyperlink>
    </w:p>
    <w:p w14:paraId="62FA44CE" w14:textId="46DA2637" w:rsidR="00A0157D" w:rsidRPr="00A0157D" w:rsidRDefault="00A0157D" w:rsidP="00A0157D">
      <w:pPr>
        <w:spacing w:line="240" w:lineRule="auto"/>
        <w:jc w:val="left"/>
      </w:pPr>
      <w:r w:rsidRPr="00A0157D">
        <w:rPr>
          <w:lang w:val="es-419"/>
        </w:rPr>
        <w:lastRenderedPageBreak/>
        <w:t xml:space="preserve">SANTOS, </w:t>
      </w:r>
      <w:proofErr w:type="spellStart"/>
      <w:r w:rsidRPr="00A0157D">
        <w:rPr>
          <w:lang w:val="es-419"/>
        </w:rPr>
        <w:t>Mílton</w:t>
      </w:r>
      <w:proofErr w:type="spellEnd"/>
      <w:r w:rsidRPr="00A0157D">
        <w:rPr>
          <w:lang w:val="es-419"/>
        </w:rPr>
        <w:t xml:space="preserve">, 2004. </w:t>
      </w:r>
      <w:r w:rsidRPr="00A0157D">
        <w:rPr>
          <w:i/>
          <w:iCs/>
          <w:lang w:val="es-419"/>
        </w:rPr>
        <w:t>Por otra globalización: del pensamiento único a la conciencia universal</w:t>
      </w:r>
      <w:r w:rsidRPr="00A0157D">
        <w:rPr>
          <w:lang w:val="es-419"/>
        </w:rPr>
        <w:t xml:space="preserve">. </w:t>
      </w:r>
      <w:r w:rsidRPr="00A0157D">
        <w:t xml:space="preserve">Bogotá, Colômbia: Convenio Andrés </w:t>
      </w:r>
      <w:proofErr w:type="spellStart"/>
      <w:r w:rsidRPr="00A0157D">
        <w:t>Bello</w:t>
      </w:r>
      <w:proofErr w:type="spellEnd"/>
      <w:r w:rsidRPr="00A0157D">
        <w:t>.</w:t>
      </w:r>
    </w:p>
    <w:p w14:paraId="362E7777" w14:textId="77777777" w:rsidR="00A0157D" w:rsidRPr="00A0157D" w:rsidRDefault="00A0157D" w:rsidP="00A0157D">
      <w:pPr>
        <w:spacing w:line="240" w:lineRule="auto"/>
        <w:jc w:val="left"/>
      </w:pPr>
      <w:r w:rsidRPr="00A0157D">
        <w:t xml:space="preserve">SILVEIRA, Sergio Amadeu e SAVAZONI, Rodrigo </w:t>
      </w:r>
      <w:proofErr w:type="spellStart"/>
      <w:r w:rsidRPr="00A0157D">
        <w:t>Tarchiani</w:t>
      </w:r>
      <w:proofErr w:type="spellEnd"/>
      <w:r w:rsidRPr="00A0157D">
        <w:t xml:space="preserve">, 2018. O conceito do comum: apontamentos introdutórios. </w:t>
      </w:r>
      <w:proofErr w:type="spellStart"/>
      <w:r w:rsidRPr="00A0157D">
        <w:rPr>
          <w:i/>
          <w:iCs/>
        </w:rPr>
        <w:t>Liinc</w:t>
      </w:r>
      <w:proofErr w:type="spellEnd"/>
      <w:r w:rsidRPr="00A0157D">
        <w:rPr>
          <w:i/>
          <w:iCs/>
        </w:rPr>
        <w:t xml:space="preserve"> em Revista</w:t>
      </w:r>
      <w:r w:rsidRPr="00A0157D">
        <w:t xml:space="preserve"> [em linha]. 5 junho 2018. vol. 14, no. 1, p. 5–18. [Acesso em 23 abril 2020]. DOI </w:t>
      </w:r>
      <w:hyperlink r:id="rId20" w:history="1">
        <w:r w:rsidRPr="00A0157D">
          <w:rPr>
            <w:rStyle w:val="Hyperlink"/>
          </w:rPr>
          <w:t>10.18617/liinc.v14i1.4150</w:t>
        </w:r>
      </w:hyperlink>
      <w:r w:rsidRPr="00A0157D">
        <w:t xml:space="preserve">. Disponível em: </w:t>
      </w:r>
      <w:hyperlink r:id="rId21" w:history="1">
        <w:r w:rsidRPr="00A0157D">
          <w:rPr>
            <w:rStyle w:val="Hyperlink"/>
          </w:rPr>
          <w:t>http://revista.ibict.br/liinc/article/view/4150</w:t>
        </w:r>
      </w:hyperlink>
    </w:p>
    <w:p w14:paraId="2FA9E7E6" w14:textId="77777777" w:rsidR="00A0157D" w:rsidRPr="00A0157D" w:rsidRDefault="00A0157D" w:rsidP="00A0157D">
      <w:pPr>
        <w:spacing w:line="240" w:lineRule="auto"/>
        <w:jc w:val="left"/>
      </w:pPr>
      <w:r w:rsidRPr="00A0157D">
        <w:rPr>
          <w:lang w:val="es-419"/>
        </w:rPr>
        <w:t xml:space="preserve">VESSURI, Hebe, GUÉDON, Jean-Claude e CETTO, Ana María, 2014. </w:t>
      </w:r>
      <w:r w:rsidRPr="00472143">
        <w:rPr>
          <w:lang w:val="en-US"/>
        </w:rPr>
        <w:t xml:space="preserve">Excellence or quality? Impact of the current competition regime on science and scientific publishing in Latin America and its implications for development. </w:t>
      </w:r>
      <w:proofErr w:type="spellStart"/>
      <w:r w:rsidRPr="00A0157D">
        <w:rPr>
          <w:i/>
          <w:iCs/>
        </w:rPr>
        <w:t>Current</w:t>
      </w:r>
      <w:proofErr w:type="spellEnd"/>
      <w:r w:rsidRPr="00A0157D">
        <w:rPr>
          <w:i/>
          <w:iCs/>
        </w:rPr>
        <w:t xml:space="preserve"> </w:t>
      </w:r>
      <w:proofErr w:type="spellStart"/>
      <w:r w:rsidRPr="00A0157D">
        <w:rPr>
          <w:i/>
          <w:iCs/>
        </w:rPr>
        <w:t>Sociology</w:t>
      </w:r>
      <w:proofErr w:type="spellEnd"/>
      <w:r w:rsidRPr="00A0157D">
        <w:t xml:space="preserve"> [em linha]. 4 setembro 2014. vol. 62, no. 5, p. 647–665. DOI </w:t>
      </w:r>
      <w:hyperlink r:id="rId22" w:history="1">
        <w:r w:rsidRPr="00A0157D">
          <w:rPr>
            <w:rStyle w:val="Hyperlink"/>
          </w:rPr>
          <w:t>10.1177/0011392113512839</w:t>
        </w:r>
      </w:hyperlink>
      <w:r w:rsidRPr="00A0157D">
        <w:t xml:space="preserve">. Disponível em: </w:t>
      </w:r>
      <w:hyperlink r:id="rId23" w:history="1">
        <w:r w:rsidRPr="00A0157D">
          <w:rPr>
            <w:rStyle w:val="Hyperlink"/>
          </w:rPr>
          <w:t>https://journals.sagepub.com/doi/10.1177/0011392113512839</w:t>
        </w:r>
      </w:hyperlink>
    </w:p>
    <w:p w14:paraId="09953850" w14:textId="39B5889B" w:rsidR="00A0157D" w:rsidRPr="00E705FF" w:rsidRDefault="00A0157D" w:rsidP="00A0157D">
      <w:pPr>
        <w:spacing w:line="240" w:lineRule="auto"/>
        <w:jc w:val="left"/>
      </w:pPr>
      <w:r w:rsidRPr="00A0157D">
        <w:t xml:space="preserve">WEITZEL, Simone da Rocha, 2006. </w:t>
      </w:r>
      <w:r w:rsidRPr="00A0157D">
        <w:rPr>
          <w:i/>
          <w:iCs/>
        </w:rPr>
        <w:t>Os repositórios de e-prints como nova forma de organização da produção científica: o caso da área das Ciências da Comunicação no Brasil</w:t>
      </w:r>
      <w:r w:rsidRPr="00A0157D">
        <w:t xml:space="preserve"> [em linha]. Tese (Doutorado em Comunicação). São Paulo, SP: Universidade de São Paulo. [Acesso em 6 março 2017]. Disponível em: </w:t>
      </w:r>
      <w:hyperlink r:id="rId24" w:history="1">
        <w:r w:rsidRPr="00A0157D">
          <w:rPr>
            <w:rStyle w:val="Hyperlink"/>
          </w:rPr>
          <w:t>https://teses.usp.br/teses/disponiveis/27/27151/tde-14052009-133509/pt-br.php</w:t>
        </w:r>
      </w:hyperlink>
    </w:p>
    <w:sectPr w:rsidR="00A0157D" w:rsidRPr="00E705FF" w:rsidSect="00E705FF">
      <w:headerReference w:type="even" r:id="rId25"/>
      <w:headerReference w:type="default" r:id="rId26"/>
      <w:footerReference w:type="even" r:id="rId27"/>
      <w:footerReference w:type="default" r:id="rId28"/>
      <w:headerReference w:type="first" r:id="rId29"/>
      <w:footerReference w:type="first" r:id="rId30"/>
      <w:pgSz w:w="11906" w:h="16838" w:code="9"/>
      <w:pgMar w:top="1418" w:right="1985" w:bottom="709" w:left="1985"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BF08" w14:textId="77777777" w:rsidR="00B5737E" w:rsidRDefault="00B5737E" w:rsidP="00130433">
      <w:pPr>
        <w:spacing w:after="0" w:line="240" w:lineRule="auto"/>
      </w:pPr>
      <w:r>
        <w:separator/>
      </w:r>
    </w:p>
  </w:endnote>
  <w:endnote w:type="continuationSeparator" w:id="0">
    <w:p w14:paraId="6FE3860E" w14:textId="77777777" w:rsidR="00B5737E" w:rsidRDefault="00B5737E" w:rsidP="0013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E0FB" w14:textId="77777777" w:rsidR="00130433" w:rsidRDefault="0013043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F192" w14:textId="77777777" w:rsidR="00130433" w:rsidRDefault="00130433" w:rsidP="00130433">
    <w:pPr>
      <w:pStyle w:val="Rodap"/>
    </w:pPr>
  </w:p>
  <w:tbl>
    <w:tblPr>
      <w:tblW w:w="0" w:type="auto"/>
      <w:tblLook w:val="01E0" w:firstRow="1" w:lastRow="1" w:firstColumn="1" w:lastColumn="1" w:noHBand="0" w:noVBand="0"/>
    </w:tblPr>
    <w:tblGrid>
      <w:gridCol w:w="1185"/>
      <w:gridCol w:w="6181"/>
      <w:gridCol w:w="560"/>
    </w:tblGrid>
    <w:tr w:rsidR="00130433" w:rsidRPr="00BD3A50" w14:paraId="68797E94" w14:textId="77777777" w:rsidTr="00734BCD">
      <w:trPr>
        <w:trHeight w:val="170"/>
      </w:trPr>
      <w:tc>
        <w:tcPr>
          <w:tcW w:w="1185" w:type="dxa"/>
          <w:shd w:val="clear" w:color="auto" w:fill="auto"/>
        </w:tcPr>
        <w:p w14:paraId="6FB01D51" w14:textId="77777777" w:rsidR="00130433" w:rsidRPr="00BD3A50" w:rsidRDefault="00130433" w:rsidP="00130433">
          <w:pPr>
            <w:pStyle w:val="Rodape"/>
          </w:pPr>
          <w:r w:rsidRPr="00BD3A50">
            <w:rPr>
              <w:noProof/>
            </w:rPr>
            <w:drawing>
              <wp:inline distT="0" distB="0" distL="0" distR="0" wp14:anchorId="698D3439" wp14:editId="69195B5A">
                <wp:extent cx="612000" cy="213488"/>
                <wp:effectExtent l="0" t="0" r="0" b="0"/>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2000" cy="213488"/>
                        </a:xfrm>
                        <a:prstGeom prst="rect">
                          <a:avLst/>
                        </a:prstGeom>
                      </pic:spPr>
                    </pic:pic>
                  </a:graphicData>
                </a:graphic>
              </wp:inline>
            </w:drawing>
          </w:r>
        </w:p>
      </w:tc>
      <w:tc>
        <w:tcPr>
          <w:tcW w:w="6181" w:type="dxa"/>
          <w:shd w:val="clear" w:color="auto" w:fill="auto"/>
        </w:tcPr>
        <w:p w14:paraId="52619DDE" w14:textId="6EE12366" w:rsidR="00130433" w:rsidRPr="00BD3A50" w:rsidRDefault="00130433" w:rsidP="00130433">
          <w:pPr>
            <w:pStyle w:val="Rodape"/>
          </w:pPr>
          <w:proofErr w:type="spellStart"/>
          <w:r w:rsidRPr="00BD3A50">
            <w:rPr>
              <w:b/>
              <w:bCs w:val="0"/>
            </w:rPr>
            <w:t>Liinc</w:t>
          </w:r>
          <w:proofErr w:type="spellEnd"/>
          <w:r w:rsidR="00A0157D">
            <w:rPr>
              <w:b/>
              <w:bCs w:val="0"/>
            </w:rPr>
            <w:t xml:space="preserve"> em Revista</w:t>
          </w:r>
          <w:r w:rsidRPr="00BD3A50">
            <w:t xml:space="preserve">, Rio de Janeiro, v. </w:t>
          </w:r>
          <w:proofErr w:type="spellStart"/>
          <w:r w:rsidRPr="00BD3A50">
            <w:t>xx</w:t>
          </w:r>
          <w:proofErr w:type="spellEnd"/>
          <w:r w:rsidRPr="00BD3A50">
            <w:t xml:space="preserve">, n. </w:t>
          </w:r>
          <w:proofErr w:type="spellStart"/>
          <w:r w:rsidRPr="00BD3A50">
            <w:t>xx</w:t>
          </w:r>
          <w:proofErr w:type="spellEnd"/>
          <w:r w:rsidRPr="00BD3A50">
            <w:t xml:space="preserve">, </w:t>
          </w:r>
          <w:proofErr w:type="spellStart"/>
          <w:r w:rsidRPr="00BD3A50">
            <w:t>eXXXX</w:t>
          </w:r>
          <w:proofErr w:type="spellEnd"/>
          <w:r w:rsidRPr="00BD3A50">
            <w:t xml:space="preserve">, </w:t>
          </w:r>
          <w:proofErr w:type="spellStart"/>
          <w:r w:rsidRPr="00BD3A50">
            <w:t>mmm</w:t>
          </w:r>
          <w:proofErr w:type="spellEnd"/>
          <w:r w:rsidRPr="00BD3A50">
            <w:t xml:space="preserve"> </w:t>
          </w:r>
          <w:proofErr w:type="spellStart"/>
          <w:r w:rsidRPr="00BD3A50">
            <w:t>aaaa</w:t>
          </w:r>
          <w:proofErr w:type="spellEnd"/>
          <w:r w:rsidRPr="00BD3A50">
            <w:t>.</w:t>
          </w:r>
        </w:p>
        <w:p w14:paraId="05F227CB" w14:textId="77777777" w:rsidR="00130433" w:rsidRPr="00BD3A50" w:rsidRDefault="00130433" w:rsidP="00130433">
          <w:pPr>
            <w:pStyle w:val="Rodape"/>
            <w:tabs>
              <w:tab w:val="left" w:pos="2953"/>
            </w:tabs>
            <w:spacing w:before="60"/>
          </w:pPr>
          <w:r w:rsidRPr="00BD3A50">
            <w:t>https://doi.org/10.18617/liinc.</w:t>
          </w:r>
          <w:r>
            <w:t>vXXiX.</w:t>
          </w:r>
          <w:r w:rsidRPr="00BD3A50">
            <w:t>XXXX</w:t>
          </w:r>
        </w:p>
      </w:tc>
      <w:tc>
        <w:tcPr>
          <w:tcW w:w="560" w:type="dxa"/>
          <w:shd w:val="clear" w:color="auto" w:fill="auto"/>
        </w:tcPr>
        <w:p w14:paraId="35ED3791" w14:textId="77777777" w:rsidR="00130433" w:rsidRPr="00BD3A50" w:rsidRDefault="00130433" w:rsidP="00130433">
          <w:pPr>
            <w:pStyle w:val="Rodape"/>
            <w:jc w:val="right"/>
            <w:rPr>
              <w:szCs w:val="16"/>
            </w:rPr>
          </w:pPr>
          <w:r w:rsidRPr="00BD3A50">
            <w:rPr>
              <w:rStyle w:val="Nmerodepgina"/>
              <w:szCs w:val="16"/>
            </w:rPr>
            <w:fldChar w:fldCharType="begin"/>
          </w:r>
          <w:r w:rsidRPr="00BD3A50">
            <w:rPr>
              <w:rStyle w:val="Nmerodepgina"/>
              <w:szCs w:val="16"/>
            </w:rPr>
            <w:instrText xml:space="preserve"> PAGE </w:instrText>
          </w:r>
          <w:r w:rsidRPr="00BD3A50">
            <w:rPr>
              <w:rStyle w:val="Nmerodepgina"/>
              <w:szCs w:val="16"/>
            </w:rPr>
            <w:fldChar w:fldCharType="separate"/>
          </w:r>
          <w:r>
            <w:rPr>
              <w:rStyle w:val="Nmerodepgina"/>
              <w:szCs w:val="16"/>
            </w:rPr>
            <w:t>1</w:t>
          </w:r>
          <w:r w:rsidRPr="00BD3A50">
            <w:rPr>
              <w:rStyle w:val="Nmerodepgina"/>
              <w:szCs w:val="16"/>
            </w:rPr>
            <w:fldChar w:fldCharType="end"/>
          </w:r>
          <w:r w:rsidRPr="00BD3A50">
            <w:rPr>
              <w:rStyle w:val="Nmerodepgina"/>
              <w:szCs w:val="16"/>
            </w:rPr>
            <w:t>/</w:t>
          </w:r>
          <w:r w:rsidRPr="00BD3A50">
            <w:rPr>
              <w:rStyle w:val="Nmerodepgina"/>
              <w:szCs w:val="16"/>
            </w:rPr>
            <w:fldChar w:fldCharType="begin"/>
          </w:r>
          <w:r w:rsidRPr="00BD3A50">
            <w:rPr>
              <w:rStyle w:val="Nmerodepgina"/>
              <w:szCs w:val="16"/>
            </w:rPr>
            <w:instrText xml:space="preserve"> NUMPAGES   \* MERGEFORMAT </w:instrText>
          </w:r>
          <w:r w:rsidRPr="00BD3A50">
            <w:rPr>
              <w:rStyle w:val="Nmerodepgina"/>
              <w:szCs w:val="16"/>
            </w:rPr>
            <w:fldChar w:fldCharType="separate"/>
          </w:r>
          <w:r>
            <w:rPr>
              <w:rStyle w:val="Nmerodepgina"/>
              <w:szCs w:val="16"/>
            </w:rPr>
            <w:t>6</w:t>
          </w:r>
          <w:r w:rsidRPr="00BD3A50">
            <w:rPr>
              <w:rStyle w:val="Nmerodepgina"/>
              <w:szCs w:val="16"/>
            </w:rPr>
            <w:fldChar w:fldCharType="end"/>
          </w:r>
        </w:p>
      </w:tc>
    </w:tr>
  </w:tbl>
  <w:p w14:paraId="3A61058D" w14:textId="77777777" w:rsidR="00130433" w:rsidRDefault="00130433" w:rsidP="0013043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287B" w14:textId="77777777" w:rsidR="00130433" w:rsidRDefault="001304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F343A" w14:textId="77777777" w:rsidR="00B5737E" w:rsidRDefault="00B5737E" w:rsidP="00130433">
      <w:pPr>
        <w:spacing w:after="0" w:line="240" w:lineRule="auto"/>
      </w:pPr>
      <w:r>
        <w:separator/>
      </w:r>
    </w:p>
  </w:footnote>
  <w:footnote w:type="continuationSeparator" w:id="0">
    <w:p w14:paraId="470B7930" w14:textId="77777777" w:rsidR="00B5737E" w:rsidRDefault="00B5737E" w:rsidP="0013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ED24" w14:textId="77777777" w:rsidR="00130433" w:rsidRDefault="0013043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9360" w14:textId="77777777" w:rsidR="00130433" w:rsidRDefault="0013043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C788" w14:textId="77777777" w:rsidR="00130433" w:rsidRDefault="001304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FF"/>
    <w:rsid w:val="00130433"/>
    <w:rsid w:val="00164294"/>
    <w:rsid w:val="00210583"/>
    <w:rsid w:val="00270B8A"/>
    <w:rsid w:val="00297622"/>
    <w:rsid w:val="003C3432"/>
    <w:rsid w:val="003C7634"/>
    <w:rsid w:val="003E4001"/>
    <w:rsid w:val="00472143"/>
    <w:rsid w:val="004A5AF4"/>
    <w:rsid w:val="0051688E"/>
    <w:rsid w:val="00545F4D"/>
    <w:rsid w:val="0058627B"/>
    <w:rsid w:val="0065013E"/>
    <w:rsid w:val="00731BF3"/>
    <w:rsid w:val="00794192"/>
    <w:rsid w:val="007A688E"/>
    <w:rsid w:val="008452C2"/>
    <w:rsid w:val="00860089"/>
    <w:rsid w:val="00873C1C"/>
    <w:rsid w:val="0089289B"/>
    <w:rsid w:val="008F3A57"/>
    <w:rsid w:val="0090697E"/>
    <w:rsid w:val="009F5D31"/>
    <w:rsid w:val="00A0157D"/>
    <w:rsid w:val="00A55B09"/>
    <w:rsid w:val="00AB097C"/>
    <w:rsid w:val="00AC4727"/>
    <w:rsid w:val="00B5737E"/>
    <w:rsid w:val="00CA54FE"/>
    <w:rsid w:val="00CB7871"/>
    <w:rsid w:val="00D0184A"/>
    <w:rsid w:val="00D96C95"/>
    <w:rsid w:val="00DE24B8"/>
    <w:rsid w:val="00DF0DEC"/>
    <w:rsid w:val="00E22E11"/>
    <w:rsid w:val="00E705FF"/>
    <w:rsid w:val="00F43AE2"/>
    <w:rsid w:val="00FA4B32"/>
    <w:rsid w:val="00FB5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B545"/>
  <w15:chartTrackingRefBased/>
  <w15:docId w15:val="{23724429-6139-48B8-89F0-430FFD10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5FF"/>
    <w:pPr>
      <w:spacing w:after="240" w:line="276" w:lineRule="auto"/>
      <w:jc w:val="both"/>
    </w:pPr>
    <w:rPr>
      <w:rFonts w:ascii="Candara" w:hAnsi="Candara"/>
    </w:rPr>
  </w:style>
  <w:style w:type="paragraph" w:styleId="Ttulo1">
    <w:name w:val="heading 1"/>
    <w:basedOn w:val="Normal"/>
    <w:next w:val="Normal"/>
    <w:link w:val="Ttulo1Char"/>
    <w:uiPriority w:val="9"/>
    <w:qFormat/>
    <w:rsid w:val="00FB5059"/>
    <w:pPr>
      <w:keepNext/>
      <w:keepLines/>
      <w:spacing w:before="560"/>
      <w:outlineLvl w:val="0"/>
    </w:pPr>
    <w:rPr>
      <w:rFonts w:eastAsiaTheme="majorEastAsia" w:cstheme="majorBidi"/>
      <w:b/>
      <w:caps/>
      <w:sz w:val="24"/>
      <w:szCs w:val="32"/>
    </w:rPr>
  </w:style>
  <w:style w:type="paragraph" w:styleId="Ttulo2">
    <w:name w:val="heading 2"/>
    <w:basedOn w:val="Normal"/>
    <w:next w:val="Normal"/>
    <w:link w:val="Ttulo2Char"/>
    <w:uiPriority w:val="9"/>
    <w:unhideWhenUsed/>
    <w:qFormat/>
    <w:rsid w:val="00E705FF"/>
    <w:pPr>
      <w:keepNext/>
      <w:keepLines/>
      <w:spacing w:before="560"/>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DE24B8"/>
    <w:pPr>
      <w:keepNext/>
      <w:keepLines/>
      <w:spacing w:before="560"/>
      <w:outlineLvl w:val="2"/>
    </w:pPr>
    <w:rPr>
      <w:rFonts w:eastAsiaTheme="majorEastAsia" w:cstheme="majorBidi"/>
      <w:b/>
      <w: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5059"/>
    <w:rPr>
      <w:rFonts w:ascii="Candara" w:eastAsiaTheme="majorEastAsia" w:hAnsi="Candara" w:cstheme="majorBidi"/>
      <w:b/>
      <w:caps/>
      <w:sz w:val="24"/>
      <w:szCs w:val="32"/>
    </w:rPr>
  </w:style>
  <w:style w:type="character" w:customStyle="1" w:styleId="Ttulo2Char">
    <w:name w:val="Título 2 Char"/>
    <w:basedOn w:val="Fontepargpadro"/>
    <w:link w:val="Ttulo2"/>
    <w:uiPriority w:val="9"/>
    <w:rsid w:val="00E705FF"/>
    <w:rPr>
      <w:rFonts w:ascii="Candara" w:eastAsiaTheme="majorEastAsia" w:hAnsi="Candara" w:cstheme="majorBidi"/>
      <w:b/>
      <w:szCs w:val="26"/>
    </w:rPr>
  </w:style>
  <w:style w:type="paragraph" w:styleId="Ttulo">
    <w:name w:val="Title"/>
    <w:basedOn w:val="Normal"/>
    <w:next w:val="Normal"/>
    <w:link w:val="TtuloChar"/>
    <w:uiPriority w:val="10"/>
    <w:qFormat/>
    <w:rsid w:val="00E705FF"/>
    <w:pPr>
      <w:spacing w:before="120" w:after="0" w:line="240" w:lineRule="auto"/>
      <w:contextualSpacing/>
      <w:jc w:val="left"/>
    </w:pPr>
    <w:rPr>
      <w:rFonts w:eastAsiaTheme="majorEastAsia" w:cstheme="majorBidi"/>
      <w:b/>
      <w:spacing w:val="-10"/>
      <w:kern w:val="28"/>
      <w:sz w:val="32"/>
      <w:szCs w:val="56"/>
    </w:rPr>
  </w:style>
  <w:style w:type="character" w:customStyle="1" w:styleId="TtuloChar">
    <w:name w:val="Título Char"/>
    <w:basedOn w:val="Fontepargpadro"/>
    <w:link w:val="Ttulo"/>
    <w:uiPriority w:val="10"/>
    <w:rsid w:val="00E705FF"/>
    <w:rPr>
      <w:rFonts w:ascii="Candara" w:eastAsiaTheme="majorEastAsia" w:hAnsi="Candara" w:cstheme="majorBidi"/>
      <w:b/>
      <w:spacing w:val="-10"/>
      <w:kern w:val="28"/>
      <w:sz w:val="32"/>
      <w:szCs w:val="56"/>
    </w:rPr>
  </w:style>
  <w:style w:type="character" w:customStyle="1" w:styleId="Ttulo3Char">
    <w:name w:val="Título 3 Char"/>
    <w:basedOn w:val="Fontepargpadro"/>
    <w:link w:val="Ttulo3"/>
    <w:uiPriority w:val="9"/>
    <w:rsid w:val="00DE24B8"/>
    <w:rPr>
      <w:rFonts w:ascii="Candara" w:eastAsiaTheme="majorEastAsia" w:hAnsi="Candara" w:cstheme="majorBidi"/>
      <w:b/>
      <w:i/>
      <w:szCs w:val="24"/>
    </w:rPr>
  </w:style>
  <w:style w:type="paragraph" w:customStyle="1" w:styleId="autoresliinc">
    <w:name w:val="autores_liinc"/>
    <w:basedOn w:val="Normal"/>
    <w:rsid w:val="00E705FF"/>
    <w:pPr>
      <w:spacing w:before="120" w:line="240" w:lineRule="auto"/>
      <w:jc w:val="left"/>
    </w:pPr>
    <w:rPr>
      <w:rFonts w:eastAsia="Times New Roman" w:cs="Times New Roman"/>
      <w:b/>
      <w:bCs/>
      <w:color w:val="4D4D4D"/>
      <w:szCs w:val="24"/>
      <w:lang w:eastAsia="pt-BR"/>
    </w:rPr>
  </w:style>
  <w:style w:type="character" w:styleId="Refdenotaderodap">
    <w:name w:val="footnote reference"/>
    <w:semiHidden/>
    <w:rsid w:val="00E705FF"/>
    <w:rPr>
      <w:vertAlign w:val="superscript"/>
    </w:rPr>
  </w:style>
  <w:style w:type="paragraph" w:customStyle="1" w:styleId="tipoartigo">
    <w:name w:val="tipo artigo"/>
    <w:basedOn w:val="Normal"/>
    <w:qFormat/>
    <w:rsid w:val="00E705FF"/>
    <w:pPr>
      <w:keepNext/>
      <w:spacing w:before="120" w:after="0" w:line="240" w:lineRule="auto"/>
      <w:jc w:val="right"/>
      <w:outlineLvl w:val="0"/>
    </w:pPr>
    <w:rPr>
      <w:rFonts w:eastAsia="Times New Roman" w:cs="Arial"/>
      <w:bCs/>
      <w:kern w:val="32"/>
      <w:sz w:val="20"/>
      <w:szCs w:val="20"/>
      <w:lang w:eastAsia="pt-BR"/>
    </w:rPr>
  </w:style>
  <w:style w:type="paragraph" w:styleId="Subttulo">
    <w:name w:val="Subtitle"/>
    <w:basedOn w:val="Normal"/>
    <w:next w:val="Normal"/>
    <w:link w:val="SubttuloChar"/>
    <w:uiPriority w:val="11"/>
    <w:qFormat/>
    <w:rsid w:val="00E705FF"/>
    <w:pPr>
      <w:numPr>
        <w:ilvl w:val="1"/>
      </w:numPr>
      <w:spacing w:before="120" w:after="120" w:line="240" w:lineRule="auto"/>
      <w:jc w:val="left"/>
    </w:pPr>
    <w:rPr>
      <w:rFonts w:eastAsiaTheme="minorEastAsia"/>
      <w:b/>
      <w:i/>
      <w:color w:val="4D4D4D"/>
      <w:spacing w:val="15"/>
      <w:sz w:val="24"/>
    </w:rPr>
  </w:style>
  <w:style w:type="character" w:customStyle="1" w:styleId="SubttuloChar">
    <w:name w:val="Subtítulo Char"/>
    <w:basedOn w:val="Fontepargpadro"/>
    <w:link w:val="Subttulo"/>
    <w:uiPriority w:val="11"/>
    <w:rsid w:val="00E705FF"/>
    <w:rPr>
      <w:rFonts w:ascii="Candara" w:eastAsiaTheme="minorEastAsia" w:hAnsi="Candara"/>
      <w:b/>
      <w:i/>
      <w:color w:val="4D4D4D"/>
      <w:spacing w:val="15"/>
      <w:sz w:val="24"/>
    </w:rPr>
  </w:style>
  <w:style w:type="paragraph" w:customStyle="1" w:styleId="ResumoLiinc">
    <w:name w:val="Resumo_Liinc"/>
    <w:basedOn w:val="Normal"/>
    <w:rsid w:val="00E705FF"/>
    <w:pPr>
      <w:spacing w:before="120" w:after="120" w:line="240" w:lineRule="auto"/>
      <w:ind w:right="284"/>
    </w:pPr>
    <w:rPr>
      <w:rFonts w:eastAsia="Times New Roman" w:cs="Times New Roman"/>
      <w:sz w:val="20"/>
      <w:szCs w:val="20"/>
      <w:lang w:eastAsia="pt-BR"/>
    </w:rPr>
  </w:style>
  <w:style w:type="paragraph" w:customStyle="1" w:styleId="AbstractLiinc">
    <w:name w:val="Abstract_Liinc"/>
    <w:basedOn w:val="Normal"/>
    <w:rsid w:val="00E705FF"/>
    <w:pPr>
      <w:spacing w:before="120" w:after="0" w:line="240" w:lineRule="auto"/>
      <w:ind w:left="284"/>
    </w:pPr>
    <w:rPr>
      <w:rFonts w:eastAsia="Times New Roman" w:cs="Times New Roman"/>
      <w:bCs/>
      <w:sz w:val="20"/>
      <w:szCs w:val="20"/>
      <w:lang w:eastAsia="pt-BR"/>
    </w:rPr>
  </w:style>
  <w:style w:type="paragraph" w:styleId="Textodebalo">
    <w:name w:val="Balloon Text"/>
    <w:basedOn w:val="Normal"/>
    <w:link w:val="TextodebaloChar"/>
    <w:uiPriority w:val="99"/>
    <w:semiHidden/>
    <w:unhideWhenUsed/>
    <w:rsid w:val="00FB505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059"/>
    <w:rPr>
      <w:rFonts w:ascii="Segoe UI" w:hAnsi="Segoe UI" w:cs="Segoe UI"/>
      <w:sz w:val="18"/>
      <w:szCs w:val="18"/>
    </w:rPr>
  </w:style>
  <w:style w:type="paragraph" w:styleId="Legenda">
    <w:name w:val="caption"/>
    <w:basedOn w:val="Normal"/>
    <w:next w:val="Normal"/>
    <w:uiPriority w:val="35"/>
    <w:unhideWhenUsed/>
    <w:qFormat/>
    <w:rsid w:val="0051688E"/>
    <w:pPr>
      <w:spacing w:after="120" w:line="240" w:lineRule="auto"/>
      <w:jc w:val="left"/>
    </w:pPr>
    <w:rPr>
      <w:iCs/>
      <w:sz w:val="20"/>
      <w:szCs w:val="18"/>
    </w:rPr>
  </w:style>
  <w:style w:type="table" w:styleId="Tabelacomgrade">
    <w:name w:val="Table Grid"/>
    <w:basedOn w:val="Tabelanormal"/>
    <w:uiPriority w:val="39"/>
    <w:rsid w:val="0051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304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0433"/>
    <w:rPr>
      <w:rFonts w:ascii="Candara" w:hAnsi="Candara"/>
    </w:rPr>
  </w:style>
  <w:style w:type="paragraph" w:styleId="Rodap">
    <w:name w:val="footer"/>
    <w:aliases w:val="texto de rodape"/>
    <w:basedOn w:val="Normal"/>
    <w:link w:val="RodapChar"/>
    <w:unhideWhenUsed/>
    <w:rsid w:val="00130433"/>
    <w:pPr>
      <w:tabs>
        <w:tab w:val="center" w:pos="4252"/>
        <w:tab w:val="right" w:pos="8504"/>
      </w:tabs>
      <w:spacing w:after="0" w:line="240" w:lineRule="auto"/>
    </w:pPr>
  </w:style>
  <w:style w:type="character" w:customStyle="1" w:styleId="RodapChar">
    <w:name w:val="Rodapé Char"/>
    <w:aliases w:val="texto de rodape Char"/>
    <w:basedOn w:val="Fontepargpadro"/>
    <w:link w:val="Rodap"/>
    <w:rsid w:val="00130433"/>
    <w:rPr>
      <w:rFonts w:ascii="Candara" w:hAnsi="Candara"/>
    </w:rPr>
  </w:style>
  <w:style w:type="character" w:styleId="Nmerodepgina">
    <w:name w:val="page number"/>
    <w:basedOn w:val="Fontepargpadro"/>
    <w:rsid w:val="00130433"/>
  </w:style>
  <w:style w:type="paragraph" w:customStyle="1" w:styleId="Rodape">
    <w:name w:val="Rodape"/>
    <w:basedOn w:val="autoresliinc"/>
    <w:rsid w:val="00130433"/>
    <w:pPr>
      <w:spacing w:before="0" w:after="0"/>
    </w:pPr>
    <w:rPr>
      <w:b w:val="0"/>
      <w:sz w:val="16"/>
      <w:shd w:val="clear" w:color="auto" w:fill="FFFFFF"/>
    </w:rPr>
  </w:style>
  <w:style w:type="character" w:styleId="Hyperlink">
    <w:name w:val="Hyperlink"/>
    <w:basedOn w:val="Fontepargpadro"/>
    <w:uiPriority w:val="99"/>
    <w:unhideWhenUsed/>
    <w:rsid w:val="00A0157D"/>
    <w:rPr>
      <w:color w:val="0563C1" w:themeColor="hyperlink"/>
      <w:u w:val="single"/>
    </w:rPr>
  </w:style>
  <w:style w:type="character" w:styleId="MenoPendente">
    <w:name w:val="Unresolved Mention"/>
    <w:basedOn w:val="Fontepargpadro"/>
    <w:uiPriority w:val="99"/>
    <w:semiHidden/>
    <w:unhideWhenUsed/>
    <w:rsid w:val="00A01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218070">
      <w:bodyDiv w:val="1"/>
      <w:marLeft w:val="0"/>
      <w:marRight w:val="0"/>
      <w:marTop w:val="0"/>
      <w:marBottom w:val="0"/>
      <w:divBdr>
        <w:top w:val="none" w:sz="0" w:space="0" w:color="auto"/>
        <w:left w:val="none" w:sz="0" w:space="0" w:color="auto"/>
        <w:bottom w:val="none" w:sz="0" w:space="0" w:color="auto"/>
        <w:right w:val="none" w:sz="0" w:space="0" w:color="auto"/>
      </w:divBdr>
      <w:divsChild>
        <w:div w:id="19091737">
          <w:marLeft w:val="0"/>
          <w:marRight w:val="0"/>
          <w:marTop w:val="0"/>
          <w:marBottom w:val="0"/>
          <w:divBdr>
            <w:top w:val="none" w:sz="0" w:space="0" w:color="auto"/>
            <w:left w:val="none" w:sz="0" w:space="0" w:color="auto"/>
            <w:bottom w:val="none" w:sz="0" w:space="0" w:color="auto"/>
            <w:right w:val="none" w:sz="0" w:space="0" w:color="auto"/>
          </w:divBdr>
          <w:divsChild>
            <w:div w:id="639574896">
              <w:marLeft w:val="0"/>
              <w:marRight w:val="0"/>
              <w:marTop w:val="0"/>
              <w:marBottom w:val="240"/>
              <w:divBdr>
                <w:top w:val="none" w:sz="0" w:space="0" w:color="auto"/>
                <w:left w:val="none" w:sz="0" w:space="0" w:color="auto"/>
                <w:bottom w:val="none" w:sz="0" w:space="0" w:color="auto"/>
                <w:right w:val="none" w:sz="0" w:space="0" w:color="auto"/>
              </w:divBdr>
            </w:div>
            <w:div w:id="1075736698">
              <w:marLeft w:val="0"/>
              <w:marRight w:val="0"/>
              <w:marTop w:val="0"/>
              <w:marBottom w:val="240"/>
              <w:divBdr>
                <w:top w:val="none" w:sz="0" w:space="0" w:color="auto"/>
                <w:left w:val="none" w:sz="0" w:space="0" w:color="auto"/>
                <w:bottom w:val="none" w:sz="0" w:space="0" w:color="auto"/>
                <w:right w:val="none" w:sz="0" w:space="0" w:color="auto"/>
              </w:divBdr>
              <w:divsChild>
                <w:div w:id="236985895">
                  <w:marLeft w:val="0"/>
                  <w:marRight w:val="96"/>
                  <w:marTop w:val="0"/>
                  <w:marBottom w:val="0"/>
                  <w:divBdr>
                    <w:top w:val="none" w:sz="0" w:space="0" w:color="auto"/>
                    <w:left w:val="none" w:sz="0" w:space="0" w:color="auto"/>
                    <w:bottom w:val="none" w:sz="0" w:space="0" w:color="auto"/>
                    <w:right w:val="none" w:sz="0" w:space="0" w:color="auto"/>
                  </w:divBdr>
                </w:div>
              </w:divsChild>
            </w:div>
            <w:div w:id="707997064">
              <w:marLeft w:val="0"/>
              <w:marRight w:val="0"/>
              <w:marTop w:val="0"/>
              <w:marBottom w:val="240"/>
              <w:divBdr>
                <w:top w:val="none" w:sz="0" w:space="0" w:color="auto"/>
                <w:left w:val="none" w:sz="0" w:space="0" w:color="auto"/>
                <w:bottom w:val="none" w:sz="0" w:space="0" w:color="auto"/>
                <w:right w:val="none" w:sz="0" w:space="0" w:color="auto"/>
              </w:divBdr>
            </w:div>
            <w:div w:id="1059860866">
              <w:marLeft w:val="0"/>
              <w:marRight w:val="0"/>
              <w:marTop w:val="0"/>
              <w:marBottom w:val="240"/>
              <w:divBdr>
                <w:top w:val="none" w:sz="0" w:space="0" w:color="auto"/>
                <w:left w:val="none" w:sz="0" w:space="0" w:color="auto"/>
                <w:bottom w:val="none" w:sz="0" w:space="0" w:color="auto"/>
                <w:right w:val="none" w:sz="0" w:space="0" w:color="auto"/>
              </w:divBdr>
            </w:div>
            <w:div w:id="1540161593">
              <w:marLeft w:val="0"/>
              <w:marRight w:val="0"/>
              <w:marTop w:val="0"/>
              <w:marBottom w:val="240"/>
              <w:divBdr>
                <w:top w:val="none" w:sz="0" w:space="0" w:color="auto"/>
                <w:left w:val="none" w:sz="0" w:space="0" w:color="auto"/>
                <w:bottom w:val="none" w:sz="0" w:space="0" w:color="auto"/>
                <w:right w:val="none" w:sz="0" w:space="0" w:color="auto"/>
              </w:divBdr>
            </w:div>
            <w:div w:id="122968303">
              <w:marLeft w:val="0"/>
              <w:marRight w:val="0"/>
              <w:marTop w:val="0"/>
              <w:marBottom w:val="240"/>
              <w:divBdr>
                <w:top w:val="none" w:sz="0" w:space="0" w:color="auto"/>
                <w:left w:val="none" w:sz="0" w:space="0" w:color="auto"/>
                <w:bottom w:val="none" w:sz="0" w:space="0" w:color="auto"/>
                <w:right w:val="none" w:sz="0" w:space="0" w:color="auto"/>
              </w:divBdr>
            </w:div>
            <w:div w:id="1653169039">
              <w:marLeft w:val="0"/>
              <w:marRight w:val="0"/>
              <w:marTop w:val="0"/>
              <w:marBottom w:val="240"/>
              <w:divBdr>
                <w:top w:val="none" w:sz="0" w:space="0" w:color="auto"/>
                <w:left w:val="none" w:sz="0" w:space="0" w:color="auto"/>
                <w:bottom w:val="none" w:sz="0" w:space="0" w:color="auto"/>
                <w:right w:val="none" w:sz="0" w:space="0" w:color="auto"/>
              </w:divBdr>
            </w:div>
            <w:div w:id="249391337">
              <w:marLeft w:val="0"/>
              <w:marRight w:val="0"/>
              <w:marTop w:val="0"/>
              <w:marBottom w:val="240"/>
              <w:divBdr>
                <w:top w:val="none" w:sz="0" w:space="0" w:color="auto"/>
                <w:left w:val="none" w:sz="0" w:space="0" w:color="auto"/>
                <w:bottom w:val="none" w:sz="0" w:space="0" w:color="auto"/>
                <w:right w:val="none" w:sz="0" w:space="0" w:color="auto"/>
              </w:divBdr>
            </w:div>
            <w:div w:id="1747652940">
              <w:marLeft w:val="0"/>
              <w:marRight w:val="0"/>
              <w:marTop w:val="0"/>
              <w:marBottom w:val="240"/>
              <w:divBdr>
                <w:top w:val="none" w:sz="0" w:space="0" w:color="auto"/>
                <w:left w:val="none" w:sz="0" w:space="0" w:color="auto"/>
                <w:bottom w:val="none" w:sz="0" w:space="0" w:color="auto"/>
                <w:right w:val="none" w:sz="0" w:space="0" w:color="auto"/>
              </w:divBdr>
            </w:div>
            <w:div w:id="533036668">
              <w:marLeft w:val="0"/>
              <w:marRight w:val="0"/>
              <w:marTop w:val="0"/>
              <w:marBottom w:val="240"/>
              <w:divBdr>
                <w:top w:val="none" w:sz="0" w:space="0" w:color="auto"/>
                <w:left w:val="none" w:sz="0" w:space="0" w:color="auto"/>
                <w:bottom w:val="none" w:sz="0" w:space="0" w:color="auto"/>
                <w:right w:val="none" w:sz="0" w:space="0" w:color="auto"/>
              </w:divBdr>
            </w:div>
            <w:div w:id="450898537">
              <w:marLeft w:val="0"/>
              <w:marRight w:val="0"/>
              <w:marTop w:val="0"/>
              <w:marBottom w:val="240"/>
              <w:divBdr>
                <w:top w:val="none" w:sz="0" w:space="0" w:color="auto"/>
                <w:left w:val="none" w:sz="0" w:space="0" w:color="auto"/>
                <w:bottom w:val="none" w:sz="0" w:space="0" w:color="auto"/>
                <w:right w:val="none" w:sz="0" w:space="0" w:color="auto"/>
              </w:divBdr>
            </w:div>
            <w:div w:id="553196342">
              <w:marLeft w:val="0"/>
              <w:marRight w:val="0"/>
              <w:marTop w:val="0"/>
              <w:marBottom w:val="240"/>
              <w:divBdr>
                <w:top w:val="none" w:sz="0" w:space="0" w:color="auto"/>
                <w:left w:val="none" w:sz="0" w:space="0" w:color="auto"/>
                <w:bottom w:val="none" w:sz="0" w:space="0" w:color="auto"/>
                <w:right w:val="none" w:sz="0" w:space="0" w:color="auto"/>
              </w:divBdr>
            </w:div>
            <w:div w:id="1901743815">
              <w:marLeft w:val="0"/>
              <w:marRight w:val="0"/>
              <w:marTop w:val="0"/>
              <w:marBottom w:val="240"/>
              <w:divBdr>
                <w:top w:val="none" w:sz="0" w:space="0" w:color="auto"/>
                <w:left w:val="none" w:sz="0" w:space="0" w:color="auto"/>
                <w:bottom w:val="none" w:sz="0" w:space="0" w:color="auto"/>
                <w:right w:val="none" w:sz="0" w:space="0" w:color="auto"/>
              </w:divBdr>
            </w:div>
            <w:div w:id="1675837164">
              <w:marLeft w:val="0"/>
              <w:marRight w:val="0"/>
              <w:marTop w:val="0"/>
              <w:marBottom w:val="0"/>
              <w:divBdr>
                <w:top w:val="none" w:sz="0" w:space="0" w:color="auto"/>
                <w:left w:val="none" w:sz="0" w:space="0" w:color="auto"/>
                <w:bottom w:val="none" w:sz="0" w:space="0" w:color="auto"/>
                <w:right w:val="none" w:sz="0" w:space="0" w:color="auto"/>
              </w:divBdr>
              <w:divsChild>
                <w:div w:id="1180849681">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archive.org/details/in.ernet.dli.2015.49995" TargetMode="External"/><Relationship Id="rId18" Type="http://schemas.openxmlformats.org/officeDocument/2006/relationships/hyperlink" Target="https://doi.org/10.18617/liinc.v1i1.186"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revista.ibict.br/liinc/article/view/4150" TargetMode="External"/><Relationship Id="rId7" Type="http://schemas.openxmlformats.org/officeDocument/2006/relationships/image" Target="media/image1.png"/><Relationship Id="rId12" Type="http://schemas.openxmlformats.org/officeDocument/2006/relationships/hyperlink" Target="http://dx.doi.org/10.18617/liinc.v4i2.269" TargetMode="External"/><Relationship Id="rId17" Type="http://schemas.openxmlformats.org/officeDocument/2006/relationships/hyperlink" Target="https://brapci.inf.br/index.php/article/download/759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apers.ssrn.com/sol3/papers.cfm?abstract_id=1356835" TargetMode="External"/><Relationship Id="rId20" Type="http://schemas.openxmlformats.org/officeDocument/2006/relationships/hyperlink" Target="https://doi.org/10.18617/liinc.v14i1.415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8617/liinc.v4i2.269" TargetMode="External"/><Relationship Id="rId24" Type="http://schemas.openxmlformats.org/officeDocument/2006/relationships/hyperlink" Target="https://teses.usp.br/teses/disponiveis/27/27151/tde-14052009-133509/pt-br.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positorio.ibict.br/handle/123456789/463" TargetMode="External"/><Relationship Id="rId23" Type="http://schemas.openxmlformats.org/officeDocument/2006/relationships/hyperlink" Target="https://journals.sagepub.com/doi/10.1177/0011392113512839" TargetMode="External"/><Relationship Id="rId28" Type="http://schemas.openxmlformats.org/officeDocument/2006/relationships/footer" Target="footer2.xml"/><Relationship Id="rId10" Type="http://schemas.openxmlformats.org/officeDocument/2006/relationships/hyperlink" Target="https://medium.com/@denalbz/power-and-inequality-in-open-science-discourses-9d425b0c2b63" TargetMode="External"/><Relationship Id="rId19" Type="http://schemas.openxmlformats.org/officeDocument/2006/relationships/hyperlink" Target="http://revista.ibict.br/liinc/article/view/308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twitter.com/martin_eve/status/1227240006344835073" TargetMode="External"/><Relationship Id="rId22" Type="http://schemas.openxmlformats.org/officeDocument/2006/relationships/hyperlink" Target="https://doi.org/10.1177/0011392113512839"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Planilha1!$G$6</c:f>
              <c:strCache>
                <c:ptCount val="1"/>
                <c:pt idx="0">
                  <c:v>Variável 1</c:v>
                </c:pt>
              </c:strCache>
            </c:strRef>
          </c:tx>
          <c:spPr>
            <a:solidFill>
              <a:schemeClr val="accent1"/>
            </a:solidFill>
            <a:ln>
              <a:noFill/>
            </a:ln>
            <a:effectLst/>
          </c:spPr>
          <c:invertIfNegative val="0"/>
          <c:cat>
            <c:strRef>
              <c:f>Planilha1!$F$7:$F$10</c:f>
              <c:strCache>
                <c:ptCount val="4"/>
                <c:pt idx="0">
                  <c:v>Observação 1</c:v>
                </c:pt>
                <c:pt idx="1">
                  <c:v>Observação 2</c:v>
                </c:pt>
                <c:pt idx="2">
                  <c:v>Observação 3</c:v>
                </c:pt>
                <c:pt idx="3">
                  <c:v>Observação 4</c:v>
                </c:pt>
              </c:strCache>
            </c:strRef>
          </c:cat>
          <c:val>
            <c:numRef>
              <c:f>Planilha1!$G$7:$G$10</c:f>
              <c:numCache>
                <c:formatCode>General</c:formatCode>
                <c:ptCount val="4"/>
                <c:pt idx="0">
                  <c:v>5</c:v>
                </c:pt>
                <c:pt idx="1">
                  <c:v>4</c:v>
                </c:pt>
                <c:pt idx="2">
                  <c:v>10</c:v>
                </c:pt>
                <c:pt idx="3">
                  <c:v>7</c:v>
                </c:pt>
              </c:numCache>
            </c:numRef>
          </c:val>
          <c:extLst>
            <c:ext xmlns:c16="http://schemas.microsoft.com/office/drawing/2014/chart" uri="{C3380CC4-5D6E-409C-BE32-E72D297353CC}">
              <c16:uniqueId val="{00000000-FCDC-47DC-BB6D-D464D4450354}"/>
            </c:ext>
          </c:extLst>
        </c:ser>
        <c:ser>
          <c:idx val="1"/>
          <c:order val="1"/>
          <c:tx>
            <c:strRef>
              <c:f>Planilha1!$H$6</c:f>
              <c:strCache>
                <c:ptCount val="1"/>
                <c:pt idx="0">
                  <c:v>Variável 2</c:v>
                </c:pt>
              </c:strCache>
            </c:strRef>
          </c:tx>
          <c:spPr>
            <a:solidFill>
              <a:schemeClr val="accent2"/>
            </a:solidFill>
            <a:ln>
              <a:noFill/>
            </a:ln>
            <a:effectLst/>
          </c:spPr>
          <c:invertIfNegative val="0"/>
          <c:cat>
            <c:strRef>
              <c:f>Planilha1!$F$7:$F$10</c:f>
              <c:strCache>
                <c:ptCount val="4"/>
                <c:pt idx="0">
                  <c:v>Observação 1</c:v>
                </c:pt>
                <c:pt idx="1">
                  <c:v>Observação 2</c:v>
                </c:pt>
                <c:pt idx="2">
                  <c:v>Observação 3</c:v>
                </c:pt>
                <c:pt idx="3">
                  <c:v>Observação 4</c:v>
                </c:pt>
              </c:strCache>
            </c:strRef>
          </c:cat>
          <c:val>
            <c:numRef>
              <c:f>Planilha1!$H$7:$H$10</c:f>
              <c:numCache>
                <c:formatCode>General</c:formatCode>
                <c:ptCount val="4"/>
                <c:pt idx="0">
                  <c:v>10</c:v>
                </c:pt>
                <c:pt idx="1">
                  <c:v>8</c:v>
                </c:pt>
                <c:pt idx="2">
                  <c:v>5</c:v>
                </c:pt>
                <c:pt idx="3">
                  <c:v>2</c:v>
                </c:pt>
              </c:numCache>
            </c:numRef>
          </c:val>
          <c:extLst>
            <c:ext xmlns:c16="http://schemas.microsoft.com/office/drawing/2014/chart" uri="{C3380CC4-5D6E-409C-BE32-E72D297353CC}">
              <c16:uniqueId val="{00000001-FCDC-47DC-BB6D-D464D4450354}"/>
            </c:ext>
          </c:extLst>
        </c:ser>
        <c:ser>
          <c:idx val="2"/>
          <c:order val="2"/>
          <c:tx>
            <c:strRef>
              <c:f>Planilha1!$I$6</c:f>
              <c:strCache>
                <c:ptCount val="1"/>
                <c:pt idx="0">
                  <c:v>Variável 3</c:v>
                </c:pt>
              </c:strCache>
            </c:strRef>
          </c:tx>
          <c:spPr>
            <a:solidFill>
              <a:schemeClr val="accent3"/>
            </a:solidFill>
            <a:ln>
              <a:noFill/>
            </a:ln>
            <a:effectLst/>
          </c:spPr>
          <c:invertIfNegative val="0"/>
          <c:cat>
            <c:strRef>
              <c:f>Planilha1!$F$7:$F$10</c:f>
              <c:strCache>
                <c:ptCount val="4"/>
                <c:pt idx="0">
                  <c:v>Observação 1</c:v>
                </c:pt>
                <c:pt idx="1">
                  <c:v>Observação 2</c:v>
                </c:pt>
                <c:pt idx="2">
                  <c:v>Observação 3</c:v>
                </c:pt>
                <c:pt idx="3">
                  <c:v>Observação 4</c:v>
                </c:pt>
              </c:strCache>
            </c:strRef>
          </c:cat>
          <c:val>
            <c:numRef>
              <c:f>Planilha1!$I$7:$I$10</c:f>
              <c:numCache>
                <c:formatCode>General</c:formatCode>
                <c:ptCount val="4"/>
                <c:pt idx="0">
                  <c:v>6</c:v>
                </c:pt>
                <c:pt idx="1">
                  <c:v>12</c:v>
                </c:pt>
                <c:pt idx="2">
                  <c:v>9</c:v>
                </c:pt>
                <c:pt idx="3">
                  <c:v>12</c:v>
                </c:pt>
              </c:numCache>
            </c:numRef>
          </c:val>
          <c:extLst>
            <c:ext xmlns:c16="http://schemas.microsoft.com/office/drawing/2014/chart" uri="{C3380CC4-5D6E-409C-BE32-E72D297353CC}">
              <c16:uniqueId val="{00000002-FCDC-47DC-BB6D-D464D4450354}"/>
            </c:ext>
          </c:extLst>
        </c:ser>
        <c:dLbls>
          <c:showLegendKey val="0"/>
          <c:showVal val="0"/>
          <c:showCatName val="0"/>
          <c:showSerName val="0"/>
          <c:showPercent val="0"/>
          <c:showBubbleSize val="0"/>
        </c:dLbls>
        <c:gapWidth val="219"/>
        <c:overlap val="-27"/>
        <c:axId val="434111200"/>
        <c:axId val="434111528"/>
      </c:barChart>
      <c:catAx>
        <c:axId val="43411120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434111528"/>
        <c:crosses val="autoZero"/>
        <c:auto val="1"/>
        <c:lblAlgn val="ctr"/>
        <c:lblOffset val="100"/>
        <c:noMultiLvlLbl val="0"/>
      </c:catAx>
      <c:valAx>
        <c:axId val="434111528"/>
        <c:scaling>
          <c:orientation val="minMax"/>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434111200"/>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9FF1-FAFB-48C0-BE3C-9A12DF57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1495</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Luiz Appel</dc:creator>
  <cp:keywords/>
  <dc:description/>
  <cp:lastModifiedBy>André Luiz Appel</cp:lastModifiedBy>
  <cp:revision>19</cp:revision>
  <dcterms:created xsi:type="dcterms:W3CDTF">2021-01-26T17:41:00Z</dcterms:created>
  <dcterms:modified xsi:type="dcterms:W3CDTF">2021-02-24T01:27:00Z</dcterms:modified>
</cp:coreProperties>
</file>